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FF0" w:rsidRPr="00305FF0" w:rsidRDefault="00305FF0" w:rsidP="00305FF0">
      <w:pPr>
        <w:jc w:val="center"/>
        <w:rPr>
          <w:rFonts w:hint="eastAsia"/>
          <w:sz w:val="32"/>
          <w:szCs w:val="32"/>
        </w:rPr>
      </w:pPr>
      <w:r w:rsidRPr="00305FF0">
        <w:rPr>
          <w:rFonts w:hint="eastAsia"/>
          <w:sz w:val="32"/>
          <w:szCs w:val="32"/>
        </w:rPr>
        <w:t>电商用中空板</w:t>
      </w:r>
      <w:r w:rsidR="001A37E6" w:rsidRPr="00305FF0">
        <w:rPr>
          <w:rFonts w:hint="eastAsia"/>
          <w:sz w:val="32"/>
          <w:szCs w:val="32"/>
        </w:rPr>
        <w:t>周转箱设计</w:t>
      </w:r>
    </w:p>
    <w:p w:rsidR="001A37E6" w:rsidRPr="00305FF0" w:rsidRDefault="001A37E6" w:rsidP="001A37E6">
      <w:pPr>
        <w:rPr>
          <w:b/>
          <w:sz w:val="18"/>
          <w:szCs w:val="18"/>
        </w:rPr>
      </w:pPr>
      <w:r w:rsidRPr="00305FF0">
        <w:rPr>
          <w:rFonts w:hint="eastAsia"/>
          <w:sz w:val="18"/>
          <w:szCs w:val="18"/>
        </w:rPr>
        <w:t>1.1</w:t>
      </w:r>
      <w:r w:rsidRPr="00305FF0">
        <w:rPr>
          <w:rFonts w:hint="eastAsia"/>
          <w:sz w:val="18"/>
          <w:szCs w:val="18"/>
        </w:rPr>
        <w:t>设计思路</w:t>
      </w:r>
    </w:p>
    <w:p w:rsidR="001A37E6" w:rsidRPr="00305FF0" w:rsidRDefault="001A37E6" w:rsidP="001A37E6">
      <w:pPr>
        <w:rPr>
          <w:sz w:val="18"/>
          <w:szCs w:val="18"/>
        </w:rPr>
      </w:pPr>
      <w:r w:rsidRPr="00305FF0">
        <w:rPr>
          <w:rFonts w:hint="eastAsia"/>
          <w:sz w:val="18"/>
          <w:szCs w:val="18"/>
        </w:rPr>
        <w:t>传统上，从集装箱式货柜车运到一级批发商，再由箱式货车运到二级批发商，同种货品整纸箱最终送达零售商。电商模式下，从集装箱式货柜车直到电商配送中心，再按网上订单将多种单件混装进小</w:t>
      </w:r>
      <w:r w:rsidR="007F473A" w:rsidRPr="00305FF0">
        <w:rPr>
          <w:rFonts w:hint="eastAsia"/>
          <w:sz w:val="18"/>
          <w:szCs w:val="18"/>
        </w:rPr>
        <w:t>周转箱</w:t>
      </w:r>
      <w:r w:rsidRPr="00305FF0">
        <w:rPr>
          <w:rFonts w:hint="eastAsia"/>
          <w:sz w:val="18"/>
          <w:szCs w:val="18"/>
        </w:rPr>
        <w:t>，快递物流送达客户。新时尚、个性化、定制性前提下，少数量、多品种的混装箱，再将整个混装箱按照目的地配载装车，发货到快递网点或实体店，因此，新零售下“批流”转变成“件流”产生了特殊的运输包装需求，并催生了零散货“点对点”的运输需求。电商模式下的运输包装变革之路：采用可重复使用的同于或超越</w:t>
      </w:r>
      <w:r w:rsidR="007F473A" w:rsidRPr="00305FF0">
        <w:rPr>
          <w:rFonts w:hint="eastAsia"/>
          <w:sz w:val="18"/>
          <w:szCs w:val="18"/>
        </w:rPr>
        <w:t>周转箱</w:t>
      </w:r>
      <w:r w:rsidRPr="00305FF0">
        <w:rPr>
          <w:rFonts w:hint="eastAsia"/>
          <w:sz w:val="18"/>
          <w:szCs w:val="18"/>
        </w:rPr>
        <w:t>运输包装特性的周转箱（以下简称为周转箱）。采用周转箱的流程：核心是货品没有外包装下，同一仓库对某一网点的累积货品量，至少装满一个周转箱；周转箱采用可调间距刀卡分割、缓冲隔板分层，货品套袋后贴电子面单或喷码，装在不同的空间网格中；周转箱按照网点线路配载到运输车辆，周转箱按转运距离远近，依次先后装车方便卸货。实现从包装出库直到网点的点对点的、无中间分拣的、只有内包装的货品物流，完全消除了</w:t>
      </w:r>
      <w:r w:rsidR="007F473A" w:rsidRPr="00305FF0">
        <w:rPr>
          <w:rFonts w:hint="eastAsia"/>
          <w:sz w:val="18"/>
          <w:szCs w:val="18"/>
        </w:rPr>
        <w:t>周转箱</w:t>
      </w:r>
      <w:r w:rsidRPr="00305FF0">
        <w:rPr>
          <w:rFonts w:hint="eastAsia"/>
          <w:sz w:val="18"/>
          <w:szCs w:val="18"/>
        </w:rPr>
        <w:t>，缓冲件也方便从内部回收。</w:t>
      </w:r>
    </w:p>
    <w:p w:rsidR="001A37E6" w:rsidRPr="00305FF0" w:rsidRDefault="001A37E6" w:rsidP="001A37E6">
      <w:pPr>
        <w:rPr>
          <w:sz w:val="18"/>
          <w:szCs w:val="18"/>
        </w:rPr>
      </w:pPr>
      <w:r w:rsidRPr="00305FF0">
        <w:rPr>
          <w:rFonts w:hint="eastAsia"/>
          <w:sz w:val="18"/>
          <w:szCs w:val="18"/>
        </w:rPr>
        <w:t>1.2</w:t>
      </w:r>
      <w:r w:rsidRPr="00305FF0">
        <w:rPr>
          <w:rFonts w:hint="eastAsia"/>
          <w:sz w:val="18"/>
          <w:szCs w:val="18"/>
        </w:rPr>
        <w:t>结构设计</w:t>
      </w:r>
    </w:p>
    <w:p w:rsidR="00305FF0" w:rsidRDefault="001A37E6" w:rsidP="001A37E6">
      <w:pPr>
        <w:rPr>
          <w:rFonts w:hint="eastAsia"/>
          <w:sz w:val="18"/>
          <w:szCs w:val="18"/>
        </w:rPr>
      </w:pPr>
      <w:r w:rsidRPr="00305FF0">
        <w:rPr>
          <w:rFonts w:hint="eastAsia"/>
          <w:sz w:val="18"/>
          <w:szCs w:val="18"/>
        </w:rPr>
        <w:t>如图</w:t>
      </w:r>
      <w:r w:rsidRPr="00305FF0">
        <w:rPr>
          <w:rFonts w:hint="eastAsia"/>
          <w:sz w:val="18"/>
          <w:szCs w:val="18"/>
        </w:rPr>
        <w:t>1</w:t>
      </w:r>
      <w:r w:rsidRPr="00305FF0">
        <w:rPr>
          <w:rFonts w:hint="eastAsia"/>
          <w:sz w:val="18"/>
          <w:szCs w:val="18"/>
        </w:rPr>
        <w:t>—</w:t>
      </w:r>
      <w:r w:rsidRPr="00305FF0">
        <w:rPr>
          <w:rFonts w:hint="eastAsia"/>
          <w:sz w:val="18"/>
          <w:szCs w:val="18"/>
        </w:rPr>
        <w:t>2</w:t>
      </w:r>
      <w:r w:rsidRPr="00305FF0">
        <w:rPr>
          <w:rFonts w:hint="eastAsia"/>
          <w:sz w:val="18"/>
          <w:szCs w:val="18"/>
        </w:rPr>
        <w:t>所示，金属内框架为骨架，</w:t>
      </w:r>
      <w:r w:rsidRPr="00305FF0">
        <w:rPr>
          <w:rFonts w:hint="eastAsia"/>
          <w:sz w:val="18"/>
          <w:szCs w:val="18"/>
        </w:rPr>
        <w:t>4</w:t>
      </w:r>
      <w:r w:rsidRPr="00305FF0">
        <w:rPr>
          <w:rFonts w:hint="eastAsia"/>
          <w:sz w:val="18"/>
          <w:szCs w:val="18"/>
        </w:rPr>
        <w:t>个侧面及底面上</w:t>
      </w:r>
      <w:r w:rsidRPr="00305FF0">
        <w:rPr>
          <w:rFonts w:hint="eastAsia"/>
          <w:b/>
          <w:sz w:val="18"/>
          <w:szCs w:val="18"/>
        </w:rPr>
        <w:t>塑料中空板</w:t>
      </w:r>
      <w:r w:rsidRPr="00305FF0">
        <w:rPr>
          <w:rFonts w:hint="eastAsia"/>
          <w:sz w:val="18"/>
          <w:szCs w:val="18"/>
        </w:rPr>
        <w:t>的内侧边分别与内框架接触，最外侧是直角包边（</w:t>
      </w:r>
      <w:r w:rsidRPr="00305FF0">
        <w:rPr>
          <w:rFonts w:hint="eastAsia"/>
          <w:sz w:val="18"/>
          <w:szCs w:val="18"/>
        </w:rPr>
        <w:t>4</w:t>
      </w:r>
      <w:r w:rsidRPr="00305FF0">
        <w:rPr>
          <w:rFonts w:hint="eastAsia"/>
          <w:sz w:val="18"/>
          <w:szCs w:val="18"/>
        </w:rPr>
        <w:t>个侧面的</w:t>
      </w:r>
      <w:r w:rsidRPr="00305FF0">
        <w:rPr>
          <w:rFonts w:hint="eastAsia"/>
          <w:sz w:val="18"/>
          <w:szCs w:val="18"/>
        </w:rPr>
        <w:t>4</w:t>
      </w:r>
      <w:r w:rsidRPr="00305FF0">
        <w:rPr>
          <w:rFonts w:hint="eastAsia"/>
          <w:sz w:val="18"/>
          <w:szCs w:val="18"/>
        </w:rPr>
        <w:t>个上边框无直角包边，由金属压条与塑料中空板组合），直角包边和塑料中空板的外侧边之间是缓冲密封橡胶，靠内六角圆头螺钉和铆螺母将直角包边、缓冲密封橡胶和塑料中空板固定在内框架上，内六角圆头螺钉和铆螺母联结时采用低强度胶水粘接，防止缓冲密封橡胶受冲击压缩时螺纹松动。箱盖的塑料中空板一边通过金属铰链联结内框架，另外三边由塑料边框和金属的压条封边。</w:t>
      </w:r>
      <w:r w:rsidRPr="00305FF0">
        <w:rPr>
          <w:rFonts w:hint="eastAsia"/>
          <w:sz w:val="18"/>
          <w:szCs w:val="18"/>
        </w:rPr>
        <w:t>4</w:t>
      </w:r>
      <w:r w:rsidRPr="00305FF0">
        <w:rPr>
          <w:rFonts w:hint="eastAsia"/>
          <w:sz w:val="18"/>
          <w:szCs w:val="18"/>
        </w:rPr>
        <w:t>个侧面与箱盖接触的边缘由内框架上边框封边。如图</w:t>
      </w:r>
      <w:r w:rsidRPr="00305FF0">
        <w:rPr>
          <w:rFonts w:hint="eastAsia"/>
          <w:sz w:val="18"/>
          <w:szCs w:val="18"/>
        </w:rPr>
        <w:t>2</w:t>
      </w:r>
      <w:r w:rsidRPr="00305FF0">
        <w:rPr>
          <w:rFonts w:hint="eastAsia"/>
          <w:sz w:val="18"/>
          <w:szCs w:val="18"/>
        </w:rPr>
        <w:t>所示，塑料中空板由内侧的高强度膜、中间的缓冲层、外侧的塑料浅方盘粘接成型。</w:t>
      </w:r>
    </w:p>
    <w:p w:rsidR="001A37E6" w:rsidRPr="00305FF0" w:rsidRDefault="00305FF0" w:rsidP="00305FF0">
      <w:pPr>
        <w:jc w:val="center"/>
        <w:rPr>
          <w:sz w:val="18"/>
          <w:szCs w:val="18"/>
        </w:rPr>
      </w:pPr>
      <w:r w:rsidRPr="00305FF0">
        <w:rPr>
          <w:noProof/>
          <w:sz w:val="18"/>
          <w:szCs w:val="18"/>
        </w:rPr>
        <w:drawing>
          <wp:inline distT="0" distB="0" distL="0" distR="0">
            <wp:extent cx="2209800" cy="1834437"/>
            <wp:effectExtent l="1905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cstate="print"/>
                    <a:srcRect/>
                    <a:stretch>
                      <a:fillRect/>
                    </a:stretch>
                  </pic:blipFill>
                  <pic:spPr bwMode="auto">
                    <a:xfrm>
                      <a:off x="0" y="0"/>
                      <a:ext cx="2209800" cy="1834437"/>
                    </a:xfrm>
                    <a:prstGeom prst="rect">
                      <a:avLst/>
                    </a:prstGeom>
                    <a:noFill/>
                    <a:ln w="9525">
                      <a:noFill/>
                      <a:miter lim="800000"/>
                      <a:headEnd/>
                      <a:tailEnd/>
                    </a:ln>
                  </pic:spPr>
                </pic:pic>
              </a:graphicData>
            </a:graphic>
          </wp:inline>
        </w:drawing>
      </w:r>
    </w:p>
    <w:p w:rsidR="001A37E6" w:rsidRPr="00305FF0" w:rsidRDefault="001A37E6" w:rsidP="001A37E6">
      <w:pPr>
        <w:rPr>
          <w:sz w:val="18"/>
          <w:szCs w:val="18"/>
        </w:rPr>
      </w:pPr>
      <w:r w:rsidRPr="00305FF0">
        <w:rPr>
          <w:noProof/>
          <w:sz w:val="18"/>
          <w:szCs w:val="18"/>
        </w:rPr>
        <w:lastRenderedPageBreak/>
        <w:drawing>
          <wp:inline distT="0" distB="0" distL="0" distR="0">
            <wp:extent cx="3571875" cy="6210300"/>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3571875" cy="6210300"/>
                    </a:xfrm>
                    <a:prstGeom prst="rect">
                      <a:avLst/>
                    </a:prstGeom>
                    <a:noFill/>
                    <a:ln w="9525">
                      <a:noFill/>
                      <a:miter lim="800000"/>
                      <a:headEnd/>
                      <a:tailEnd/>
                    </a:ln>
                  </pic:spPr>
                </pic:pic>
              </a:graphicData>
            </a:graphic>
          </wp:inline>
        </w:drawing>
      </w:r>
    </w:p>
    <w:p w:rsidR="001A37E6" w:rsidRPr="00305FF0" w:rsidRDefault="001A37E6" w:rsidP="001A37E6">
      <w:pPr>
        <w:rPr>
          <w:sz w:val="18"/>
          <w:szCs w:val="18"/>
        </w:rPr>
      </w:pPr>
      <w:r w:rsidRPr="00305FF0">
        <w:rPr>
          <w:rFonts w:hint="eastAsia"/>
          <w:sz w:val="18"/>
          <w:szCs w:val="18"/>
        </w:rPr>
        <w:t>目前使用的塑料中空板又称为中空板，作为耐冲击、隔热、隔音的板材使用，没有箱体缓冲结构的设计，其瓦楞结构仅为井字或等壁厚单波纹。对于等壁厚纸质</w:t>
      </w:r>
      <w:r w:rsidR="007F473A" w:rsidRPr="00305FF0">
        <w:rPr>
          <w:rFonts w:hint="eastAsia"/>
          <w:sz w:val="18"/>
          <w:szCs w:val="18"/>
        </w:rPr>
        <w:t>周转箱</w:t>
      </w:r>
      <w:r w:rsidRPr="00305FF0">
        <w:rPr>
          <w:rFonts w:hint="eastAsia"/>
          <w:sz w:val="18"/>
          <w:szCs w:val="18"/>
        </w:rPr>
        <w:t>，屈曲和后屈曲现象大大影响了力学性能。采用环保型</w:t>
      </w:r>
      <w:r w:rsidRPr="00305FF0">
        <w:rPr>
          <w:rFonts w:hint="eastAsia"/>
          <w:sz w:val="18"/>
          <w:szCs w:val="18"/>
        </w:rPr>
        <w:t>PP</w:t>
      </w:r>
      <w:r w:rsidRPr="00305FF0">
        <w:rPr>
          <w:rFonts w:hint="eastAsia"/>
          <w:sz w:val="18"/>
          <w:szCs w:val="18"/>
        </w:rPr>
        <w:t>塑料加工的中空板周转箱及隔档，中空板采用塑料卡和铆钉联结，没有跌落冲击缓冲。文中所设计缓冲层可以是实心的海绵、橡胶、发泡塑料或非织造方式加工的缓冲材料。缓冲层也可以是异形瓦楞形状，瓦楞形状可以是变壁厚的各种瓦楞，如图</w:t>
      </w:r>
      <w:r w:rsidRPr="00305FF0">
        <w:rPr>
          <w:rFonts w:hint="eastAsia"/>
          <w:sz w:val="18"/>
          <w:szCs w:val="18"/>
        </w:rPr>
        <w:t>3</w:t>
      </w:r>
      <w:r w:rsidRPr="00305FF0">
        <w:rPr>
          <w:rFonts w:hint="eastAsia"/>
          <w:sz w:val="18"/>
          <w:szCs w:val="18"/>
        </w:rPr>
        <w:t>所示的变壁厚对称双波纹状，变壁厚对称双梯形，变壁厚、有间隔、倾斜壁的矩形瓦楞体等，瓦楞结构上有效克服屈曲和后屈曲现象。上下对称形状可以避免挤出成型过程中因厚度不一致而弯曲。瓦楞材料是塑料弹性体、橡胶等。</w:t>
      </w:r>
    </w:p>
    <w:p w:rsidR="00305FF0" w:rsidRPr="00305FF0" w:rsidRDefault="00305FF0" w:rsidP="001A37E6">
      <w:pPr>
        <w:rPr>
          <w:rFonts w:hint="eastAsia"/>
          <w:sz w:val="18"/>
          <w:szCs w:val="18"/>
        </w:rPr>
      </w:pPr>
    </w:p>
    <w:p w:rsidR="00305FF0" w:rsidRPr="00305FF0" w:rsidRDefault="00305FF0" w:rsidP="001A37E6">
      <w:pPr>
        <w:rPr>
          <w:sz w:val="18"/>
          <w:szCs w:val="18"/>
        </w:rPr>
      </w:pPr>
    </w:p>
    <w:p w:rsidR="001A37E6" w:rsidRPr="00305FF0" w:rsidRDefault="001A37E6" w:rsidP="001A37E6">
      <w:pPr>
        <w:rPr>
          <w:sz w:val="18"/>
          <w:szCs w:val="18"/>
        </w:rPr>
      </w:pPr>
    </w:p>
    <w:p w:rsidR="001A37E6" w:rsidRPr="00305FF0" w:rsidRDefault="001A37E6" w:rsidP="001A37E6">
      <w:pPr>
        <w:rPr>
          <w:sz w:val="18"/>
          <w:szCs w:val="18"/>
        </w:rPr>
      </w:pPr>
      <w:r w:rsidRPr="00305FF0">
        <w:rPr>
          <w:rFonts w:hint="eastAsia"/>
          <w:sz w:val="18"/>
          <w:szCs w:val="18"/>
        </w:rPr>
        <w:t>1.3</w:t>
      </w:r>
      <w:r w:rsidRPr="00305FF0">
        <w:rPr>
          <w:rFonts w:hint="eastAsia"/>
          <w:sz w:val="18"/>
          <w:szCs w:val="18"/>
        </w:rPr>
        <w:t>周转箱尺寸标准化设计</w:t>
      </w:r>
    </w:p>
    <w:p w:rsidR="001A37E6" w:rsidRPr="00305FF0" w:rsidRDefault="001A37E6" w:rsidP="001A37E6">
      <w:pPr>
        <w:rPr>
          <w:sz w:val="18"/>
          <w:szCs w:val="18"/>
        </w:rPr>
      </w:pPr>
      <w:r w:rsidRPr="00305FF0">
        <w:rPr>
          <w:rFonts w:hint="eastAsia"/>
          <w:sz w:val="18"/>
          <w:szCs w:val="18"/>
        </w:rPr>
        <w:t>目前关于周转箱尺寸的标准化虽然国家并未出台统一的标准但已经有相关文章中对其进行了研究并进行了</w:t>
      </w:r>
      <w:r w:rsidRPr="00305FF0">
        <w:rPr>
          <w:rFonts w:hint="eastAsia"/>
          <w:sz w:val="18"/>
          <w:szCs w:val="18"/>
        </w:rPr>
        <w:lastRenderedPageBreak/>
        <w:t>相关设计。物流标准化工作的重点在于制定标准规格尺寸来实现全物流系统的贯通，以达到提高物流效率的目标。具体包括内容如下所述。</w:t>
      </w:r>
    </w:p>
    <w:p w:rsidR="001A37E6" w:rsidRPr="00305FF0" w:rsidRDefault="001A37E6" w:rsidP="001A37E6">
      <w:pPr>
        <w:rPr>
          <w:sz w:val="18"/>
          <w:szCs w:val="18"/>
        </w:rPr>
      </w:pPr>
      <w:r w:rsidRPr="00305FF0">
        <w:rPr>
          <w:rFonts w:hint="eastAsia"/>
          <w:sz w:val="18"/>
          <w:szCs w:val="18"/>
        </w:rPr>
        <w:t>1</w:t>
      </w:r>
      <w:r w:rsidRPr="00305FF0">
        <w:rPr>
          <w:rFonts w:hint="eastAsia"/>
          <w:sz w:val="18"/>
          <w:szCs w:val="18"/>
        </w:rPr>
        <w:t>）物流基础模数尺寸的确定。物流系统的基础是物流基础模数尺寸。物流基础模数尺寸标准是标准化的共同单位尺寸或系统各标准尺寸的最小公约尺寸，它为物流系统中各个环节的配合、物流系统与其他系统得配合提供了依据。目前，欧洲各国及我国</w:t>
      </w:r>
      <w:r w:rsidRPr="00305FF0">
        <w:rPr>
          <w:rFonts w:hint="eastAsia"/>
          <w:sz w:val="18"/>
          <w:szCs w:val="18"/>
        </w:rPr>
        <w:t>ISO</w:t>
      </w:r>
      <w:r w:rsidRPr="00305FF0">
        <w:rPr>
          <w:rFonts w:hint="eastAsia"/>
          <w:sz w:val="18"/>
          <w:szCs w:val="18"/>
        </w:rPr>
        <w:t>中央秘书处确定物流基础模数尺寸为</w:t>
      </w:r>
      <w:r w:rsidRPr="00305FF0">
        <w:rPr>
          <w:rFonts w:hint="eastAsia"/>
          <w:sz w:val="18"/>
          <w:szCs w:val="18"/>
        </w:rPr>
        <w:t>600mm</w:t>
      </w:r>
      <w:r w:rsidRPr="00305FF0">
        <w:rPr>
          <w:rFonts w:hint="eastAsia"/>
          <w:sz w:val="18"/>
          <w:szCs w:val="18"/>
        </w:rPr>
        <w:t>×</w:t>
      </w:r>
      <w:r w:rsidRPr="00305FF0">
        <w:rPr>
          <w:rFonts w:hint="eastAsia"/>
          <w:sz w:val="18"/>
          <w:szCs w:val="18"/>
        </w:rPr>
        <w:t>400mm</w:t>
      </w:r>
      <w:r w:rsidRPr="00305FF0">
        <w:rPr>
          <w:rFonts w:hint="eastAsia"/>
          <w:sz w:val="18"/>
          <w:szCs w:val="18"/>
        </w:rPr>
        <w:t>。</w:t>
      </w:r>
    </w:p>
    <w:p w:rsidR="001A37E6" w:rsidRPr="00305FF0" w:rsidRDefault="001A37E6" w:rsidP="001A37E6">
      <w:pPr>
        <w:rPr>
          <w:sz w:val="18"/>
          <w:szCs w:val="18"/>
        </w:rPr>
      </w:pPr>
      <w:r w:rsidRPr="00305FF0">
        <w:rPr>
          <w:rFonts w:hint="eastAsia"/>
          <w:sz w:val="18"/>
          <w:szCs w:val="18"/>
        </w:rPr>
        <w:t>2</w:t>
      </w:r>
      <w:r w:rsidRPr="00305FF0">
        <w:rPr>
          <w:rFonts w:hint="eastAsia"/>
          <w:sz w:val="18"/>
          <w:szCs w:val="18"/>
        </w:rPr>
        <w:t>）确定物流模数。物流模数也叫集装基础模数尺寸。物流标准化应当建立在集装的基础之上，同时要确定集装基础模数尺寸。国际上物流模数尺寸以</w:t>
      </w:r>
      <w:r w:rsidRPr="00305FF0">
        <w:rPr>
          <w:rFonts w:hint="eastAsia"/>
          <w:sz w:val="18"/>
          <w:szCs w:val="18"/>
        </w:rPr>
        <w:t>1200mm</w:t>
      </w:r>
      <w:r w:rsidRPr="00305FF0">
        <w:rPr>
          <w:rFonts w:hint="eastAsia"/>
          <w:sz w:val="18"/>
          <w:szCs w:val="18"/>
        </w:rPr>
        <w:t>×</w:t>
      </w:r>
      <w:r w:rsidRPr="00305FF0">
        <w:rPr>
          <w:rFonts w:hint="eastAsia"/>
          <w:sz w:val="18"/>
          <w:szCs w:val="18"/>
        </w:rPr>
        <w:t>1000mm</w:t>
      </w:r>
      <w:r w:rsidRPr="00305FF0">
        <w:rPr>
          <w:rFonts w:hint="eastAsia"/>
          <w:sz w:val="18"/>
          <w:szCs w:val="18"/>
        </w:rPr>
        <w:t>居多，也允许使用</w:t>
      </w:r>
      <w:r w:rsidRPr="00305FF0">
        <w:rPr>
          <w:rFonts w:hint="eastAsia"/>
          <w:sz w:val="18"/>
          <w:szCs w:val="18"/>
        </w:rPr>
        <w:t>1200mm</w:t>
      </w:r>
      <w:r w:rsidRPr="00305FF0">
        <w:rPr>
          <w:rFonts w:hint="eastAsia"/>
          <w:sz w:val="18"/>
          <w:szCs w:val="18"/>
        </w:rPr>
        <w:t>×</w:t>
      </w:r>
      <w:r w:rsidRPr="00305FF0">
        <w:rPr>
          <w:rFonts w:hint="eastAsia"/>
          <w:sz w:val="18"/>
          <w:szCs w:val="18"/>
        </w:rPr>
        <w:t>800mm</w:t>
      </w:r>
      <w:r w:rsidRPr="00305FF0">
        <w:rPr>
          <w:rFonts w:hint="eastAsia"/>
          <w:sz w:val="18"/>
          <w:szCs w:val="18"/>
        </w:rPr>
        <w:t>及</w:t>
      </w:r>
      <w:r w:rsidRPr="00305FF0">
        <w:rPr>
          <w:rFonts w:hint="eastAsia"/>
          <w:sz w:val="18"/>
          <w:szCs w:val="18"/>
        </w:rPr>
        <w:t>1100mm</w:t>
      </w:r>
      <w:r w:rsidRPr="00305FF0">
        <w:rPr>
          <w:rFonts w:hint="eastAsia"/>
          <w:sz w:val="18"/>
          <w:szCs w:val="18"/>
        </w:rPr>
        <w:t>×</w:t>
      </w:r>
      <w:r w:rsidRPr="00305FF0">
        <w:rPr>
          <w:rFonts w:hint="eastAsia"/>
          <w:sz w:val="18"/>
          <w:szCs w:val="18"/>
        </w:rPr>
        <w:t>1100mm</w:t>
      </w:r>
      <w:r w:rsidRPr="00305FF0">
        <w:rPr>
          <w:rFonts w:hint="eastAsia"/>
          <w:sz w:val="18"/>
          <w:szCs w:val="18"/>
        </w:rPr>
        <w:t>等规格。物流模数体系结构见图</w:t>
      </w:r>
      <w:r w:rsidRPr="00305FF0">
        <w:rPr>
          <w:rFonts w:hint="eastAsia"/>
          <w:sz w:val="18"/>
          <w:szCs w:val="18"/>
        </w:rPr>
        <w:t>4</w:t>
      </w:r>
      <w:r w:rsidRPr="00305FF0">
        <w:rPr>
          <w:rFonts w:hint="eastAsia"/>
          <w:sz w:val="18"/>
          <w:szCs w:val="18"/>
        </w:rPr>
        <w:t>。</w:t>
      </w:r>
    </w:p>
    <w:p w:rsidR="001A37E6" w:rsidRPr="00305FF0" w:rsidRDefault="001A37E6" w:rsidP="001A37E6">
      <w:pPr>
        <w:rPr>
          <w:sz w:val="18"/>
          <w:szCs w:val="18"/>
        </w:rPr>
      </w:pPr>
      <w:r w:rsidRPr="00305FF0">
        <w:rPr>
          <w:rFonts w:hint="eastAsia"/>
          <w:sz w:val="18"/>
          <w:szCs w:val="18"/>
        </w:rPr>
        <w:t>物流基础模数尺寸与物流模数之间存在着组合关系。若干个物流基础模数尺寸模块组成一个集装单元基础模数尺寸模块，例如</w:t>
      </w:r>
      <w:r w:rsidRPr="00305FF0">
        <w:rPr>
          <w:rFonts w:hint="eastAsia"/>
          <w:sz w:val="18"/>
          <w:szCs w:val="18"/>
        </w:rPr>
        <w:t>1200mm</w:t>
      </w:r>
      <w:r w:rsidRPr="00305FF0">
        <w:rPr>
          <w:rFonts w:hint="eastAsia"/>
          <w:sz w:val="18"/>
          <w:szCs w:val="18"/>
        </w:rPr>
        <w:t>×</w:t>
      </w:r>
      <w:r w:rsidRPr="00305FF0">
        <w:rPr>
          <w:rFonts w:hint="eastAsia"/>
          <w:sz w:val="18"/>
          <w:szCs w:val="18"/>
        </w:rPr>
        <w:t>1000mm</w:t>
      </w:r>
      <w:r w:rsidRPr="00305FF0">
        <w:rPr>
          <w:rFonts w:hint="eastAsia"/>
          <w:sz w:val="18"/>
          <w:szCs w:val="18"/>
        </w:rPr>
        <w:t>可由</w:t>
      </w:r>
      <w:r w:rsidRPr="00305FF0">
        <w:rPr>
          <w:rFonts w:hint="eastAsia"/>
          <w:sz w:val="18"/>
          <w:szCs w:val="18"/>
        </w:rPr>
        <w:t>5</w:t>
      </w:r>
      <w:r w:rsidRPr="00305FF0">
        <w:rPr>
          <w:rFonts w:hint="eastAsia"/>
          <w:sz w:val="18"/>
          <w:szCs w:val="18"/>
        </w:rPr>
        <w:t>个物流基础模数尺寸（</w:t>
      </w:r>
      <w:r w:rsidRPr="00305FF0">
        <w:rPr>
          <w:rFonts w:hint="eastAsia"/>
          <w:sz w:val="18"/>
          <w:szCs w:val="18"/>
        </w:rPr>
        <w:t>600mm</w:t>
      </w:r>
      <w:r w:rsidRPr="00305FF0">
        <w:rPr>
          <w:rFonts w:hint="eastAsia"/>
          <w:sz w:val="18"/>
          <w:szCs w:val="18"/>
        </w:rPr>
        <w:t>×</w:t>
      </w:r>
      <w:r w:rsidRPr="00305FF0">
        <w:rPr>
          <w:rFonts w:hint="eastAsia"/>
          <w:sz w:val="18"/>
          <w:szCs w:val="18"/>
        </w:rPr>
        <w:t>400mm</w:t>
      </w:r>
      <w:r w:rsidRPr="00305FF0">
        <w:rPr>
          <w:rFonts w:hint="eastAsia"/>
          <w:sz w:val="18"/>
          <w:szCs w:val="18"/>
        </w:rPr>
        <w:t>）组成。</w:t>
      </w:r>
    </w:p>
    <w:p w:rsidR="001A37E6" w:rsidRPr="00305FF0" w:rsidRDefault="001A37E6" w:rsidP="001A37E6">
      <w:pPr>
        <w:rPr>
          <w:sz w:val="18"/>
          <w:szCs w:val="18"/>
        </w:rPr>
      </w:pPr>
      <w:r w:rsidRPr="00305FF0">
        <w:rPr>
          <w:noProof/>
          <w:sz w:val="18"/>
          <w:szCs w:val="18"/>
        </w:rPr>
        <w:drawing>
          <wp:inline distT="0" distB="0" distL="0" distR="0">
            <wp:extent cx="3895725" cy="2428875"/>
            <wp:effectExtent l="1905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srcRect/>
                    <a:stretch>
                      <a:fillRect/>
                    </a:stretch>
                  </pic:blipFill>
                  <pic:spPr bwMode="auto">
                    <a:xfrm>
                      <a:off x="0" y="0"/>
                      <a:ext cx="3895725" cy="2428875"/>
                    </a:xfrm>
                    <a:prstGeom prst="rect">
                      <a:avLst/>
                    </a:prstGeom>
                    <a:noFill/>
                    <a:ln w="9525">
                      <a:noFill/>
                      <a:miter lim="800000"/>
                      <a:headEnd/>
                      <a:tailEnd/>
                    </a:ln>
                  </pic:spPr>
                </pic:pic>
              </a:graphicData>
            </a:graphic>
          </wp:inline>
        </w:drawing>
      </w:r>
    </w:p>
    <w:p w:rsidR="001A37E6" w:rsidRPr="00305FF0" w:rsidRDefault="001A37E6" w:rsidP="001A37E6">
      <w:pPr>
        <w:rPr>
          <w:sz w:val="18"/>
          <w:szCs w:val="18"/>
        </w:rPr>
      </w:pPr>
    </w:p>
    <w:p w:rsidR="001A37E6" w:rsidRPr="00305FF0" w:rsidRDefault="001A37E6" w:rsidP="001A37E6">
      <w:pPr>
        <w:rPr>
          <w:sz w:val="18"/>
          <w:szCs w:val="18"/>
        </w:rPr>
      </w:pPr>
      <w:r w:rsidRPr="00305FF0">
        <w:rPr>
          <w:rFonts w:hint="eastAsia"/>
          <w:sz w:val="18"/>
          <w:szCs w:val="18"/>
        </w:rPr>
        <w:t>3</w:t>
      </w:r>
      <w:r w:rsidRPr="00305FF0">
        <w:rPr>
          <w:rFonts w:hint="eastAsia"/>
          <w:sz w:val="18"/>
          <w:szCs w:val="18"/>
        </w:rPr>
        <w:t>）制定标准化尺寸系列。物流模数是形成物流包装系列化的基础，是物流系统各环节标准化的核心。生产制造尺寸是依据物流模数确定有关系列的大小和尺寸确定的。确定产品标准化尺寸常用的方法有模数分割法和组合分割方法。模数分割是两边分别被从一开始连续的整数去除，得出各边尺寸，最大为</w:t>
      </w:r>
      <w:r w:rsidRPr="00305FF0">
        <w:rPr>
          <w:rFonts w:hint="eastAsia"/>
          <w:sz w:val="18"/>
          <w:szCs w:val="18"/>
        </w:rPr>
        <w:t>M</w:t>
      </w:r>
      <w:r w:rsidRPr="00305FF0">
        <w:rPr>
          <w:rFonts w:hint="eastAsia"/>
          <w:sz w:val="18"/>
          <w:szCs w:val="18"/>
        </w:rPr>
        <w:t>×</w:t>
      </w:r>
      <w:r w:rsidRPr="00305FF0">
        <w:rPr>
          <w:rFonts w:hint="eastAsia"/>
          <w:sz w:val="18"/>
          <w:szCs w:val="18"/>
        </w:rPr>
        <w:t>N</w:t>
      </w:r>
      <w:r w:rsidRPr="00305FF0">
        <w:rPr>
          <w:rFonts w:hint="eastAsia"/>
          <w:sz w:val="18"/>
          <w:szCs w:val="18"/>
        </w:rPr>
        <w:t>，最小为</w:t>
      </w:r>
      <w:r w:rsidRPr="00305FF0">
        <w:rPr>
          <w:rFonts w:hint="eastAsia"/>
          <w:sz w:val="18"/>
          <w:szCs w:val="18"/>
        </w:rPr>
        <w:t>200</w:t>
      </w:r>
      <w:r w:rsidRPr="00305FF0">
        <w:rPr>
          <w:rFonts w:hint="eastAsia"/>
          <w:sz w:val="18"/>
          <w:szCs w:val="18"/>
        </w:rPr>
        <w:t>×</w:t>
      </w:r>
      <w:r w:rsidRPr="00305FF0">
        <w:rPr>
          <w:rFonts w:hint="eastAsia"/>
          <w:sz w:val="18"/>
          <w:szCs w:val="18"/>
        </w:rPr>
        <w:t>200</w:t>
      </w:r>
      <w:r w:rsidRPr="00305FF0">
        <w:rPr>
          <w:rFonts w:hint="eastAsia"/>
          <w:sz w:val="18"/>
          <w:szCs w:val="18"/>
        </w:rPr>
        <w:t>，见图</w:t>
      </w:r>
      <w:r w:rsidRPr="00305FF0">
        <w:rPr>
          <w:rFonts w:hint="eastAsia"/>
          <w:sz w:val="18"/>
          <w:szCs w:val="18"/>
        </w:rPr>
        <w:t>5</w:t>
      </w:r>
      <w:r w:rsidRPr="00305FF0">
        <w:rPr>
          <w:rFonts w:hint="eastAsia"/>
          <w:sz w:val="18"/>
          <w:szCs w:val="18"/>
        </w:rPr>
        <w:t>。</w:t>
      </w:r>
    </w:p>
    <w:p w:rsidR="001A37E6" w:rsidRPr="00305FF0" w:rsidRDefault="001A37E6" w:rsidP="001A37E6">
      <w:pPr>
        <w:rPr>
          <w:sz w:val="18"/>
          <w:szCs w:val="18"/>
        </w:rPr>
      </w:pPr>
      <w:r w:rsidRPr="00305FF0">
        <w:rPr>
          <w:noProof/>
          <w:sz w:val="18"/>
          <w:szCs w:val="18"/>
        </w:rPr>
        <w:drawing>
          <wp:inline distT="0" distB="0" distL="0" distR="0">
            <wp:extent cx="3219450" cy="2457450"/>
            <wp:effectExtent l="1905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srcRect/>
                    <a:stretch>
                      <a:fillRect/>
                    </a:stretch>
                  </pic:blipFill>
                  <pic:spPr bwMode="auto">
                    <a:xfrm>
                      <a:off x="0" y="0"/>
                      <a:ext cx="3219450" cy="2457450"/>
                    </a:xfrm>
                    <a:prstGeom prst="rect">
                      <a:avLst/>
                    </a:prstGeom>
                    <a:noFill/>
                    <a:ln w="9525">
                      <a:noFill/>
                      <a:miter lim="800000"/>
                      <a:headEnd/>
                      <a:tailEnd/>
                    </a:ln>
                  </pic:spPr>
                </pic:pic>
              </a:graphicData>
            </a:graphic>
          </wp:inline>
        </w:drawing>
      </w:r>
    </w:p>
    <w:p w:rsidR="001A37E6" w:rsidRPr="00305FF0" w:rsidRDefault="001A37E6" w:rsidP="001A37E6">
      <w:pPr>
        <w:rPr>
          <w:sz w:val="18"/>
          <w:szCs w:val="18"/>
        </w:rPr>
      </w:pPr>
    </w:p>
    <w:p w:rsidR="001A37E6" w:rsidRPr="00305FF0" w:rsidRDefault="001A37E6" w:rsidP="001A37E6">
      <w:pPr>
        <w:rPr>
          <w:sz w:val="18"/>
          <w:szCs w:val="18"/>
        </w:rPr>
      </w:pPr>
      <w:r w:rsidRPr="00305FF0">
        <w:rPr>
          <w:rFonts w:hint="eastAsia"/>
          <w:sz w:val="18"/>
          <w:szCs w:val="18"/>
        </w:rPr>
        <w:t>模数分割的方法计算简便，能使集装单元表面利用率达到最高且方法简便，易于机械化操作，能满足规模化运输包装的需求，但是这种方法也有一定的缺点，仅仅考虑了集合容器和包装箱的组合，不能保证包装</w:t>
      </w:r>
      <w:r w:rsidRPr="00305FF0">
        <w:rPr>
          <w:rFonts w:hint="eastAsia"/>
          <w:sz w:val="18"/>
          <w:szCs w:val="18"/>
        </w:rPr>
        <w:lastRenderedPageBreak/>
        <w:t>箱的利用率最高。同时由于这种方法得出的尺寸系列堆码没有交叉搭接导致稳定性比较差。组合分割是将物流包装的长</w:t>
      </w:r>
      <w:r w:rsidRPr="00305FF0">
        <w:rPr>
          <w:rFonts w:hint="eastAsia"/>
          <w:sz w:val="18"/>
          <w:szCs w:val="18"/>
        </w:rPr>
        <w:t>c</w:t>
      </w:r>
      <w:r w:rsidRPr="00305FF0">
        <w:rPr>
          <w:rFonts w:hint="eastAsia"/>
          <w:sz w:val="18"/>
          <w:szCs w:val="18"/>
        </w:rPr>
        <w:t>和宽</w:t>
      </w:r>
      <w:r w:rsidRPr="00305FF0">
        <w:rPr>
          <w:rFonts w:hint="eastAsia"/>
          <w:sz w:val="18"/>
          <w:szCs w:val="18"/>
        </w:rPr>
        <w:t>d</w:t>
      </w:r>
      <w:r w:rsidRPr="00305FF0">
        <w:rPr>
          <w:rFonts w:hint="eastAsia"/>
          <w:sz w:val="18"/>
          <w:szCs w:val="18"/>
        </w:rPr>
        <w:t>按比例分割后组合并存在关系见式（</w:t>
      </w:r>
      <w:r w:rsidRPr="00305FF0">
        <w:rPr>
          <w:rFonts w:hint="eastAsia"/>
          <w:sz w:val="18"/>
          <w:szCs w:val="18"/>
        </w:rPr>
        <w:t>1</w:t>
      </w:r>
      <w:r w:rsidRPr="00305FF0">
        <w:rPr>
          <w:rFonts w:hint="eastAsia"/>
          <w:sz w:val="18"/>
          <w:szCs w:val="18"/>
        </w:rPr>
        <w:t>—</w:t>
      </w:r>
      <w:r w:rsidRPr="00305FF0">
        <w:rPr>
          <w:rFonts w:hint="eastAsia"/>
          <w:sz w:val="18"/>
          <w:szCs w:val="18"/>
        </w:rPr>
        <w:t>2</w:t>
      </w:r>
      <w:r w:rsidRPr="00305FF0">
        <w:rPr>
          <w:rFonts w:hint="eastAsia"/>
          <w:sz w:val="18"/>
          <w:szCs w:val="18"/>
        </w:rPr>
        <w:t>）。</w:t>
      </w:r>
    </w:p>
    <w:p w:rsidR="007F473A" w:rsidRPr="00305FF0" w:rsidRDefault="007F473A" w:rsidP="00305FF0">
      <w:pPr>
        <w:ind w:firstLineChars="550" w:firstLine="990"/>
        <w:rPr>
          <w:sz w:val="18"/>
          <w:szCs w:val="18"/>
        </w:rPr>
      </w:pPr>
      <w:r w:rsidRPr="00305FF0">
        <w:rPr>
          <w:sz w:val="18"/>
          <w:szCs w:val="18"/>
        </w:rPr>
        <w:t xml:space="preserve">nc+md+A=N </w:t>
      </w:r>
      <w:r w:rsidRPr="00305FF0">
        <w:rPr>
          <w:rFonts w:hint="eastAsia"/>
          <w:sz w:val="18"/>
          <w:szCs w:val="18"/>
        </w:rPr>
        <w:t xml:space="preserve">  </w:t>
      </w:r>
      <w:r w:rsidRPr="00305FF0">
        <w:rPr>
          <w:sz w:val="18"/>
          <w:szCs w:val="18"/>
        </w:rPr>
        <w:t xml:space="preserve"> (1)</w:t>
      </w:r>
    </w:p>
    <w:p w:rsidR="001A37E6" w:rsidRPr="00305FF0" w:rsidRDefault="007F473A" w:rsidP="00305FF0">
      <w:pPr>
        <w:ind w:firstLineChars="650" w:firstLine="1170"/>
        <w:rPr>
          <w:sz w:val="18"/>
          <w:szCs w:val="18"/>
        </w:rPr>
      </w:pPr>
      <w:r w:rsidRPr="00305FF0">
        <w:rPr>
          <w:sz w:val="18"/>
          <w:szCs w:val="18"/>
        </w:rPr>
        <w:t>n'd+m'c+A=M  (2)</w:t>
      </w:r>
    </w:p>
    <w:p w:rsidR="001A37E6" w:rsidRPr="00305FF0" w:rsidRDefault="001A37E6" w:rsidP="001A37E6">
      <w:pPr>
        <w:rPr>
          <w:sz w:val="18"/>
          <w:szCs w:val="18"/>
        </w:rPr>
      </w:pPr>
    </w:p>
    <w:p w:rsidR="001A37E6" w:rsidRPr="00305FF0" w:rsidRDefault="001A37E6" w:rsidP="001A37E6">
      <w:pPr>
        <w:rPr>
          <w:sz w:val="18"/>
          <w:szCs w:val="18"/>
        </w:rPr>
      </w:pPr>
      <w:r w:rsidRPr="00305FF0">
        <w:rPr>
          <w:rFonts w:hint="eastAsia"/>
          <w:sz w:val="18"/>
          <w:szCs w:val="18"/>
        </w:rPr>
        <w:t>式中：</w:t>
      </w:r>
      <w:r w:rsidRPr="00305FF0">
        <w:rPr>
          <w:rFonts w:hint="eastAsia"/>
          <w:sz w:val="18"/>
          <w:szCs w:val="18"/>
        </w:rPr>
        <w:t>n,m</w:t>
      </w:r>
      <w:r w:rsidRPr="00305FF0">
        <w:rPr>
          <w:rFonts w:hint="eastAsia"/>
          <w:sz w:val="18"/>
          <w:szCs w:val="18"/>
        </w:rPr>
        <w:t>分别为沿托盘宽度</w:t>
      </w:r>
      <w:r w:rsidRPr="00305FF0">
        <w:rPr>
          <w:rFonts w:hint="eastAsia"/>
          <w:sz w:val="18"/>
          <w:szCs w:val="18"/>
        </w:rPr>
        <w:t>N</w:t>
      </w:r>
      <w:r w:rsidRPr="00305FF0">
        <w:rPr>
          <w:rFonts w:hint="eastAsia"/>
          <w:sz w:val="18"/>
          <w:szCs w:val="18"/>
        </w:rPr>
        <w:t>方向上摆放横向和纵向包装个数；</w:t>
      </w:r>
      <w:r w:rsidRPr="00305FF0">
        <w:rPr>
          <w:rFonts w:hint="eastAsia"/>
          <w:sz w:val="18"/>
          <w:szCs w:val="18"/>
        </w:rPr>
        <w:t>n',m'</w:t>
      </w:r>
      <w:r w:rsidRPr="00305FF0">
        <w:rPr>
          <w:rFonts w:hint="eastAsia"/>
          <w:sz w:val="18"/>
          <w:szCs w:val="18"/>
        </w:rPr>
        <w:t>分别为沿托盘长度</w:t>
      </w:r>
      <w:r w:rsidRPr="00305FF0">
        <w:rPr>
          <w:rFonts w:hint="eastAsia"/>
          <w:sz w:val="18"/>
          <w:szCs w:val="18"/>
        </w:rPr>
        <w:t>M</w:t>
      </w:r>
      <w:r w:rsidRPr="00305FF0">
        <w:rPr>
          <w:rFonts w:hint="eastAsia"/>
          <w:sz w:val="18"/>
          <w:szCs w:val="18"/>
        </w:rPr>
        <w:t>方向摆放横向和纵向包装个数；</w:t>
      </w:r>
      <w:r w:rsidRPr="00305FF0">
        <w:rPr>
          <w:rFonts w:hint="eastAsia"/>
          <w:sz w:val="18"/>
          <w:szCs w:val="18"/>
        </w:rPr>
        <w:t>c,d</w:t>
      </w:r>
      <w:r w:rsidRPr="00305FF0">
        <w:rPr>
          <w:rFonts w:hint="eastAsia"/>
          <w:sz w:val="18"/>
          <w:szCs w:val="18"/>
        </w:rPr>
        <w:t>最小均为</w:t>
      </w:r>
      <w:r w:rsidRPr="00305FF0">
        <w:rPr>
          <w:rFonts w:hint="eastAsia"/>
          <w:sz w:val="18"/>
          <w:szCs w:val="18"/>
        </w:rPr>
        <w:t>200mmc/d</w:t>
      </w:r>
      <w:r w:rsidRPr="00305FF0">
        <w:rPr>
          <w:rFonts w:hint="eastAsia"/>
          <w:sz w:val="18"/>
          <w:szCs w:val="18"/>
        </w:rPr>
        <w:t>的比值很多，因此可以求出很多组物流包装的长和宽的尺码数据，常使用的</w:t>
      </w:r>
      <w:r w:rsidRPr="00305FF0">
        <w:rPr>
          <w:rFonts w:hint="eastAsia"/>
          <w:sz w:val="18"/>
          <w:szCs w:val="18"/>
        </w:rPr>
        <w:t>c/d</w:t>
      </w:r>
      <w:r w:rsidRPr="00305FF0">
        <w:rPr>
          <w:rFonts w:hint="eastAsia"/>
          <w:sz w:val="18"/>
          <w:szCs w:val="18"/>
        </w:rPr>
        <w:t>的比值有</w:t>
      </w:r>
      <w:r w:rsidRPr="00305FF0">
        <w:rPr>
          <w:rFonts w:hint="eastAsia"/>
          <w:sz w:val="18"/>
          <w:szCs w:val="18"/>
        </w:rPr>
        <w:t>3/2,4/3,5/4,6/5,17/12</w:t>
      </w:r>
      <w:r w:rsidRPr="00305FF0">
        <w:rPr>
          <w:rFonts w:hint="eastAsia"/>
          <w:sz w:val="18"/>
          <w:szCs w:val="18"/>
        </w:rPr>
        <w:t>等。组合分割法确定的物流包装的长度和宽度可以在托盘上组合码成各种形式有利于托盘的利用，其中当</w:t>
      </w:r>
      <w:r w:rsidRPr="00305FF0">
        <w:rPr>
          <w:rFonts w:hint="eastAsia"/>
          <w:sz w:val="18"/>
          <w:szCs w:val="18"/>
        </w:rPr>
        <w:t>c/d</w:t>
      </w:r>
      <w:r w:rsidRPr="00305FF0">
        <w:rPr>
          <w:rFonts w:hint="eastAsia"/>
          <w:sz w:val="18"/>
          <w:szCs w:val="18"/>
        </w:rPr>
        <w:t>为</w:t>
      </w:r>
      <w:r w:rsidRPr="00305FF0">
        <w:rPr>
          <w:rFonts w:hint="eastAsia"/>
          <w:sz w:val="18"/>
          <w:szCs w:val="18"/>
        </w:rPr>
        <w:t>3/2</w:t>
      </w:r>
      <w:r w:rsidRPr="00305FF0">
        <w:rPr>
          <w:rFonts w:hint="eastAsia"/>
          <w:sz w:val="18"/>
          <w:szCs w:val="18"/>
        </w:rPr>
        <w:t>时托盘的表面利用率可达</w:t>
      </w:r>
      <w:r w:rsidRPr="00305FF0">
        <w:rPr>
          <w:rFonts w:hint="eastAsia"/>
          <w:sz w:val="18"/>
          <w:szCs w:val="18"/>
        </w:rPr>
        <w:t>96%</w:t>
      </w:r>
      <w:r w:rsidRPr="00305FF0">
        <w:rPr>
          <w:rFonts w:hint="eastAsia"/>
          <w:sz w:val="18"/>
          <w:szCs w:val="18"/>
        </w:rPr>
        <w:t>。周转箱的高度可以根据</w:t>
      </w:r>
      <w:r w:rsidRPr="00305FF0">
        <w:rPr>
          <w:rFonts w:hint="eastAsia"/>
          <w:sz w:val="18"/>
          <w:szCs w:val="18"/>
        </w:rPr>
        <w:t>GB/T2003</w:t>
      </w:r>
      <w:r w:rsidRPr="00305FF0">
        <w:rPr>
          <w:rFonts w:hint="eastAsia"/>
          <w:sz w:val="18"/>
          <w:szCs w:val="18"/>
        </w:rPr>
        <w:t>—</w:t>
      </w:r>
      <w:r w:rsidRPr="00305FF0">
        <w:rPr>
          <w:rFonts w:hint="eastAsia"/>
          <w:sz w:val="18"/>
          <w:szCs w:val="18"/>
        </w:rPr>
        <w:t>2007</w:t>
      </w:r>
      <w:r w:rsidRPr="00305FF0">
        <w:rPr>
          <w:rFonts w:hint="eastAsia"/>
          <w:sz w:val="18"/>
          <w:szCs w:val="18"/>
        </w:rPr>
        <w:t>“塑料物流周转箱”中规定高度优先数系</w:t>
      </w:r>
      <w:r w:rsidRPr="00305FF0">
        <w:rPr>
          <w:rFonts w:hint="eastAsia"/>
          <w:sz w:val="18"/>
          <w:szCs w:val="18"/>
        </w:rPr>
        <w:t>120,160,230,290,340mm</w:t>
      </w:r>
      <w:r w:rsidRPr="00305FF0">
        <w:rPr>
          <w:rFonts w:hint="eastAsia"/>
          <w:sz w:val="18"/>
          <w:szCs w:val="18"/>
        </w:rPr>
        <w:t>进行参考，在实际流通中还需要考虑相应物流机械、交通工具等设施设备的要求，因此在此基础上还可以对高度进行适当调整。</w:t>
      </w:r>
    </w:p>
    <w:p w:rsidR="001A37E6" w:rsidRPr="00305FF0" w:rsidRDefault="001A37E6" w:rsidP="001A37E6">
      <w:pPr>
        <w:rPr>
          <w:sz w:val="18"/>
          <w:szCs w:val="18"/>
        </w:rPr>
      </w:pPr>
      <w:r w:rsidRPr="00305FF0">
        <w:rPr>
          <w:rFonts w:hint="eastAsia"/>
          <w:sz w:val="18"/>
          <w:szCs w:val="18"/>
        </w:rPr>
        <w:t>1.4</w:t>
      </w:r>
      <w:r w:rsidRPr="00305FF0">
        <w:rPr>
          <w:rFonts w:hint="eastAsia"/>
          <w:sz w:val="18"/>
          <w:szCs w:val="18"/>
        </w:rPr>
        <w:t>周转箱使用管理</w:t>
      </w:r>
    </w:p>
    <w:p w:rsidR="001A37E6" w:rsidRPr="00305FF0" w:rsidRDefault="001A37E6" w:rsidP="001A37E6">
      <w:pPr>
        <w:rPr>
          <w:sz w:val="18"/>
          <w:szCs w:val="18"/>
        </w:rPr>
      </w:pPr>
      <w:r w:rsidRPr="00305FF0">
        <w:rPr>
          <w:rFonts w:hint="eastAsia"/>
          <w:sz w:val="18"/>
          <w:szCs w:val="18"/>
        </w:rPr>
        <w:t>RFID</w:t>
      </w:r>
      <w:r w:rsidRPr="00305FF0">
        <w:rPr>
          <w:rFonts w:hint="eastAsia"/>
          <w:sz w:val="18"/>
          <w:szCs w:val="18"/>
        </w:rPr>
        <w:t>技术是一种非接触式的自动识别技术，它通过射频信号作为自动识别目标对象并获得相关数据。</w:t>
      </w:r>
      <w:r w:rsidRPr="00305FF0">
        <w:rPr>
          <w:rFonts w:hint="eastAsia"/>
          <w:sz w:val="18"/>
          <w:szCs w:val="18"/>
        </w:rPr>
        <w:t>RFID</w:t>
      </w:r>
      <w:r w:rsidRPr="00305FF0">
        <w:rPr>
          <w:rFonts w:hint="eastAsia"/>
          <w:sz w:val="18"/>
          <w:szCs w:val="18"/>
        </w:rPr>
        <w:t>是一种简单的无线技术，包括标签、天线和阅读器</w:t>
      </w:r>
      <w:r w:rsidRPr="00305FF0">
        <w:rPr>
          <w:rFonts w:hint="eastAsia"/>
          <w:sz w:val="18"/>
          <w:szCs w:val="18"/>
        </w:rPr>
        <w:t>3</w:t>
      </w:r>
      <w:r w:rsidRPr="00305FF0">
        <w:rPr>
          <w:rFonts w:hint="eastAsia"/>
          <w:sz w:val="18"/>
          <w:szCs w:val="18"/>
        </w:rPr>
        <w:t>个基本器件，该技术用于检测、控制和跟踪物体。为了方便周转箱的管理，提高运输效率，该周转箱嵌入超高频</w:t>
      </w:r>
      <w:r w:rsidRPr="00305FF0">
        <w:rPr>
          <w:rFonts w:hint="eastAsia"/>
          <w:sz w:val="18"/>
          <w:szCs w:val="18"/>
        </w:rPr>
        <w:t>RFID</w:t>
      </w:r>
      <w:r w:rsidRPr="00305FF0">
        <w:rPr>
          <w:rFonts w:hint="eastAsia"/>
          <w:sz w:val="18"/>
          <w:szCs w:val="18"/>
        </w:rPr>
        <w:t>标签方便记录周转箱出入库情况，以及实时定位周转箱位置。再配上既有条形码又有</w:t>
      </w:r>
      <w:r w:rsidRPr="00305FF0">
        <w:rPr>
          <w:rFonts w:hint="eastAsia"/>
          <w:sz w:val="18"/>
          <w:szCs w:val="18"/>
        </w:rPr>
        <w:t>RFID</w:t>
      </w:r>
      <w:r w:rsidRPr="00305FF0">
        <w:rPr>
          <w:rFonts w:hint="eastAsia"/>
          <w:sz w:val="18"/>
          <w:szCs w:val="18"/>
        </w:rPr>
        <w:t>标签的智能电子锁即保证了周转箱内货物的安全又能方便开箱。此举大大减少了周转箱管理的工作量和周转箱丢失的情况。</w:t>
      </w:r>
    </w:p>
    <w:p w:rsidR="001A37E6" w:rsidRPr="00305FF0" w:rsidRDefault="001A37E6" w:rsidP="001A37E6">
      <w:pPr>
        <w:rPr>
          <w:sz w:val="18"/>
          <w:szCs w:val="18"/>
        </w:rPr>
      </w:pPr>
    </w:p>
    <w:p w:rsidR="001A37E6" w:rsidRPr="00305FF0" w:rsidRDefault="001A37E6" w:rsidP="001A37E6">
      <w:pPr>
        <w:rPr>
          <w:sz w:val="18"/>
          <w:szCs w:val="18"/>
        </w:rPr>
      </w:pPr>
    </w:p>
    <w:p w:rsidR="001A37E6" w:rsidRPr="00305FF0" w:rsidRDefault="001A37E6" w:rsidP="001A37E6">
      <w:pPr>
        <w:rPr>
          <w:sz w:val="18"/>
          <w:szCs w:val="18"/>
        </w:rPr>
      </w:pPr>
      <w:r w:rsidRPr="00305FF0">
        <w:rPr>
          <w:rFonts w:hint="eastAsia"/>
          <w:sz w:val="18"/>
          <w:szCs w:val="18"/>
        </w:rPr>
        <w:t>1</w:t>
      </w:r>
      <w:r w:rsidRPr="00305FF0">
        <w:rPr>
          <w:rFonts w:hint="eastAsia"/>
          <w:sz w:val="18"/>
          <w:szCs w:val="18"/>
        </w:rPr>
        <w:t>、内框架模型建立</w:t>
      </w:r>
    </w:p>
    <w:p w:rsidR="001A37E6" w:rsidRPr="00305FF0" w:rsidRDefault="001A37E6" w:rsidP="001A37E6">
      <w:pPr>
        <w:rPr>
          <w:sz w:val="18"/>
          <w:szCs w:val="18"/>
        </w:rPr>
      </w:pPr>
      <w:r w:rsidRPr="00305FF0">
        <w:rPr>
          <w:rFonts w:hint="eastAsia"/>
          <w:sz w:val="18"/>
          <w:szCs w:val="18"/>
        </w:rPr>
        <w:t>内框架是</w:t>
      </w:r>
      <w:r w:rsidRPr="00305FF0">
        <w:rPr>
          <w:rFonts w:hint="eastAsia"/>
          <w:b/>
          <w:sz w:val="18"/>
          <w:szCs w:val="18"/>
        </w:rPr>
        <w:t>中空板周转箱</w:t>
      </w:r>
      <w:r w:rsidRPr="00305FF0">
        <w:rPr>
          <w:rFonts w:hint="eastAsia"/>
          <w:sz w:val="18"/>
          <w:szCs w:val="18"/>
        </w:rPr>
        <w:t>的骨架，也是整体强度的核心，其边压强度关系着整个箱体的抗压强度、堆码时的表现等，因此内框架的强度至关重要。由于要与常用</w:t>
      </w:r>
      <w:r w:rsidR="007F473A" w:rsidRPr="00305FF0">
        <w:rPr>
          <w:rFonts w:hint="eastAsia"/>
          <w:sz w:val="18"/>
          <w:szCs w:val="18"/>
        </w:rPr>
        <w:t>周转箱</w:t>
      </w:r>
      <w:r w:rsidRPr="00305FF0">
        <w:rPr>
          <w:rFonts w:hint="eastAsia"/>
          <w:sz w:val="18"/>
          <w:szCs w:val="18"/>
        </w:rPr>
        <w:t>的抗压强度进行对比，所以模型的尺寸选常用的</w:t>
      </w:r>
      <w:r w:rsidR="007F473A" w:rsidRPr="00305FF0">
        <w:rPr>
          <w:rFonts w:hint="eastAsia"/>
          <w:sz w:val="18"/>
          <w:szCs w:val="18"/>
        </w:rPr>
        <w:t>周转箱</w:t>
      </w:r>
      <w:r w:rsidRPr="00305FF0">
        <w:rPr>
          <w:rFonts w:hint="eastAsia"/>
          <w:sz w:val="18"/>
          <w:szCs w:val="18"/>
        </w:rPr>
        <w:t>尺寸，外尺寸为</w:t>
      </w:r>
      <w:r w:rsidRPr="00305FF0">
        <w:rPr>
          <w:rFonts w:hint="eastAsia"/>
          <w:sz w:val="18"/>
          <w:szCs w:val="18"/>
        </w:rPr>
        <w:t>420mm</w:t>
      </w:r>
      <w:r w:rsidRPr="00305FF0">
        <w:rPr>
          <w:rFonts w:hint="eastAsia"/>
          <w:sz w:val="18"/>
          <w:szCs w:val="18"/>
        </w:rPr>
        <w:t>×</w:t>
      </w:r>
      <w:r w:rsidRPr="00305FF0">
        <w:rPr>
          <w:rFonts w:hint="eastAsia"/>
          <w:sz w:val="18"/>
          <w:szCs w:val="18"/>
        </w:rPr>
        <w:t>330mm</w:t>
      </w:r>
      <w:r w:rsidRPr="00305FF0">
        <w:rPr>
          <w:rFonts w:hint="eastAsia"/>
          <w:sz w:val="18"/>
          <w:szCs w:val="18"/>
        </w:rPr>
        <w:t>×</w:t>
      </w:r>
      <w:r w:rsidRPr="00305FF0">
        <w:rPr>
          <w:rFonts w:hint="eastAsia"/>
          <w:sz w:val="18"/>
          <w:szCs w:val="18"/>
        </w:rPr>
        <w:t>210mm</w:t>
      </w:r>
      <w:r w:rsidRPr="00305FF0">
        <w:rPr>
          <w:rFonts w:hint="eastAsia"/>
          <w:sz w:val="18"/>
          <w:szCs w:val="18"/>
        </w:rPr>
        <w:t>，选用</w:t>
      </w:r>
      <w:r w:rsidRPr="00305FF0">
        <w:rPr>
          <w:rFonts w:hint="eastAsia"/>
          <w:sz w:val="18"/>
          <w:szCs w:val="18"/>
        </w:rPr>
        <w:t>Q235A</w:t>
      </w:r>
      <w:r w:rsidRPr="00305FF0">
        <w:rPr>
          <w:rFonts w:hint="eastAsia"/>
          <w:sz w:val="18"/>
          <w:szCs w:val="18"/>
        </w:rPr>
        <w:t>材料，尺寸为</w:t>
      </w:r>
      <w:r w:rsidRPr="00305FF0">
        <w:rPr>
          <w:rFonts w:hint="eastAsia"/>
          <w:sz w:val="18"/>
          <w:szCs w:val="18"/>
        </w:rPr>
        <w:t>8mm</w:t>
      </w:r>
      <w:r w:rsidRPr="00305FF0">
        <w:rPr>
          <w:rFonts w:hint="eastAsia"/>
          <w:sz w:val="18"/>
          <w:szCs w:val="18"/>
        </w:rPr>
        <w:t>×</w:t>
      </w:r>
      <w:r w:rsidRPr="00305FF0">
        <w:rPr>
          <w:rFonts w:hint="eastAsia"/>
          <w:sz w:val="18"/>
          <w:szCs w:val="18"/>
        </w:rPr>
        <w:t>18mm</w:t>
      </w:r>
      <w:r w:rsidRPr="00305FF0">
        <w:rPr>
          <w:rFonts w:hint="eastAsia"/>
          <w:sz w:val="18"/>
          <w:szCs w:val="18"/>
        </w:rPr>
        <w:t>（上边框）与尺寸为</w:t>
      </w:r>
      <w:r w:rsidRPr="00305FF0">
        <w:rPr>
          <w:rFonts w:hint="eastAsia"/>
          <w:sz w:val="18"/>
          <w:szCs w:val="18"/>
        </w:rPr>
        <w:t>18mm</w:t>
      </w:r>
      <w:r w:rsidRPr="00305FF0">
        <w:rPr>
          <w:rFonts w:hint="eastAsia"/>
          <w:sz w:val="18"/>
          <w:szCs w:val="18"/>
        </w:rPr>
        <w:t>×</w:t>
      </w:r>
      <w:r w:rsidRPr="00305FF0">
        <w:rPr>
          <w:rFonts w:hint="eastAsia"/>
          <w:sz w:val="18"/>
          <w:szCs w:val="18"/>
        </w:rPr>
        <w:t>18mm</w:t>
      </w:r>
      <w:r w:rsidRPr="00305FF0">
        <w:rPr>
          <w:rFonts w:hint="eastAsia"/>
          <w:sz w:val="18"/>
          <w:szCs w:val="18"/>
        </w:rPr>
        <w:t>、厚度为</w:t>
      </w:r>
      <w:r w:rsidRPr="00305FF0">
        <w:rPr>
          <w:rFonts w:hint="eastAsia"/>
          <w:sz w:val="18"/>
          <w:szCs w:val="18"/>
        </w:rPr>
        <w:t>3mm</w:t>
      </w:r>
      <w:r w:rsidRPr="00305FF0">
        <w:rPr>
          <w:rFonts w:hint="eastAsia"/>
          <w:sz w:val="18"/>
          <w:szCs w:val="18"/>
        </w:rPr>
        <w:t>的角钢焊接成内框架。</w:t>
      </w:r>
    </w:p>
    <w:p w:rsidR="001A37E6" w:rsidRPr="00305FF0" w:rsidRDefault="001A37E6" w:rsidP="001A37E6">
      <w:pPr>
        <w:rPr>
          <w:sz w:val="18"/>
          <w:szCs w:val="18"/>
        </w:rPr>
      </w:pPr>
      <w:r w:rsidRPr="00305FF0">
        <w:rPr>
          <w:rFonts w:hint="eastAsia"/>
          <w:sz w:val="18"/>
          <w:szCs w:val="18"/>
        </w:rPr>
        <w:t>2</w:t>
      </w:r>
      <w:r w:rsidRPr="00305FF0">
        <w:rPr>
          <w:rFonts w:hint="eastAsia"/>
          <w:sz w:val="18"/>
          <w:szCs w:val="18"/>
        </w:rPr>
        <w:t>、静力学求解</w:t>
      </w:r>
    </w:p>
    <w:p w:rsidR="001A37E6" w:rsidRPr="00305FF0" w:rsidRDefault="001A37E6" w:rsidP="001A37E6">
      <w:pPr>
        <w:rPr>
          <w:sz w:val="18"/>
          <w:szCs w:val="18"/>
        </w:rPr>
      </w:pPr>
      <w:r w:rsidRPr="00305FF0">
        <w:rPr>
          <w:rFonts w:hint="eastAsia"/>
          <w:sz w:val="18"/>
          <w:szCs w:val="18"/>
        </w:rPr>
        <w:t>查阅相关资料可知，尺寸为</w:t>
      </w:r>
      <w:r w:rsidRPr="00305FF0">
        <w:rPr>
          <w:rFonts w:hint="eastAsia"/>
          <w:sz w:val="18"/>
          <w:szCs w:val="18"/>
        </w:rPr>
        <w:t>420mm</w:t>
      </w:r>
      <w:r w:rsidRPr="00305FF0">
        <w:rPr>
          <w:rFonts w:hint="eastAsia"/>
          <w:sz w:val="18"/>
          <w:szCs w:val="18"/>
        </w:rPr>
        <w:t>×</w:t>
      </w:r>
      <w:r w:rsidRPr="00305FF0">
        <w:rPr>
          <w:rFonts w:hint="eastAsia"/>
          <w:sz w:val="18"/>
          <w:szCs w:val="18"/>
        </w:rPr>
        <w:t>330mm</w:t>
      </w:r>
      <w:r w:rsidRPr="00305FF0">
        <w:rPr>
          <w:rFonts w:hint="eastAsia"/>
          <w:sz w:val="18"/>
          <w:szCs w:val="18"/>
        </w:rPr>
        <w:t>×</w:t>
      </w:r>
      <w:r w:rsidRPr="00305FF0">
        <w:rPr>
          <w:rFonts w:hint="eastAsia"/>
          <w:sz w:val="18"/>
          <w:szCs w:val="18"/>
        </w:rPr>
        <w:t>210mm</w:t>
      </w:r>
      <w:r w:rsidRPr="00305FF0">
        <w:rPr>
          <w:rFonts w:hint="eastAsia"/>
          <w:sz w:val="18"/>
          <w:szCs w:val="18"/>
        </w:rPr>
        <w:t>的</w:t>
      </w:r>
      <w:r w:rsidRPr="00305FF0">
        <w:rPr>
          <w:rFonts w:hint="eastAsia"/>
          <w:sz w:val="18"/>
          <w:szCs w:val="18"/>
        </w:rPr>
        <w:t>0201</w:t>
      </w:r>
      <w:r w:rsidRPr="00305FF0">
        <w:rPr>
          <w:rFonts w:hint="eastAsia"/>
          <w:sz w:val="18"/>
          <w:szCs w:val="18"/>
        </w:rPr>
        <w:t>型</w:t>
      </w:r>
      <w:r w:rsidRPr="00305FF0">
        <w:rPr>
          <w:rFonts w:hint="eastAsia"/>
          <w:sz w:val="18"/>
          <w:szCs w:val="18"/>
        </w:rPr>
        <w:t>AB</w:t>
      </w:r>
      <w:r w:rsidRPr="00305FF0">
        <w:rPr>
          <w:rFonts w:hint="eastAsia"/>
          <w:sz w:val="18"/>
          <w:szCs w:val="18"/>
        </w:rPr>
        <w:t>楞五层</w:t>
      </w:r>
      <w:r w:rsidR="007F473A" w:rsidRPr="00305FF0">
        <w:rPr>
          <w:rFonts w:hint="eastAsia"/>
          <w:sz w:val="18"/>
          <w:szCs w:val="18"/>
        </w:rPr>
        <w:t>周转箱</w:t>
      </w:r>
      <w:r w:rsidRPr="00305FF0">
        <w:rPr>
          <w:rFonts w:hint="eastAsia"/>
          <w:sz w:val="18"/>
          <w:szCs w:val="18"/>
        </w:rPr>
        <w:t>的抗压强度最大为</w:t>
      </w:r>
      <w:r w:rsidRPr="00305FF0">
        <w:rPr>
          <w:rFonts w:hint="eastAsia"/>
          <w:sz w:val="18"/>
          <w:szCs w:val="18"/>
        </w:rPr>
        <w:t>5798.4N[14]</w:t>
      </w:r>
      <w:r w:rsidRPr="00305FF0">
        <w:rPr>
          <w:rFonts w:hint="eastAsia"/>
          <w:sz w:val="18"/>
          <w:szCs w:val="18"/>
        </w:rPr>
        <w:t>。仅以内框架承载为研究对象，分析选用壳单元</w:t>
      </w:r>
      <w:r w:rsidRPr="00305FF0">
        <w:rPr>
          <w:rFonts w:hint="eastAsia"/>
          <w:sz w:val="18"/>
          <w:szCs w:val="18"/>
        </w:rPr>
        <w:t>shell181</w:t>
      </w:r>
      <w:r w:rsidRPr="00305FF0">
        <w:rPr>
          <w:rFonts w:hint="eastAsia"/>
          <w:sz w:val="18"/>
          <w:szCs w:val="18"/>
        </w:rPr>
        <w:t>，材料属性：弹性模量为</w:t>
      </w:r>
      <w:r w:rsidRPr="00305FF0">
        <w:rPr>
          <w:rFonts w:hint="eastAsia"/>
          <w:sz w:val="18"/>
          <w:szCs w:val="18"/>
        </w:rPr>
        <w:t>206GPa</w:t>
      </w:r>
      <w:r w:rsidRPr="00305FF0">
        <w:rPr>
          <w:rFonts w:hint="eastAsia"/>
          <w:sz w:val="18"/>
          <w:szCs w:val="18"/>
        </w:rPr>
        <w:t>，泊松比为</w:t>
      </w:r>
      <w:r w:rsidRPr="00305FF0">
        <w:rPr>
          <w:rFonts w:hint="eastAsia"/>
          <w:sz w:val="18"/>
          <w:szCs w:val="18"/>
        </w:rPr>
        <w:t>0.3</w:t>
      </w:r>
      <w:r w:rsidRPr="00305FF0">
        <w:rPr>
          <w:rFonts w:hint="eastAsia"/>
          <w:sz w:val="18"/>
          <w:szCs w:val="18"/>
        </w:rPr>
        <w:t>，层厚度为</w:t>
      </w:r>
      <w:r w:rsidRPr="00305FF0">
        <w:rPr>
          <w:rFonts w:hint="eastAsia"/>
          <w:sz w:val="18"/>
          <w:szCs w:val="18"/>
        </w:rPr>
        <w:t>0.003m</w:t>
      </w:r>
      <w:r w:rsidRPr="00305FF0">
        <w:rPr>
          <w:rFonts w:hint="eastAsia"/>
          <w:sz w:val="18"/>
          <w:szCs w:val="18"/>
        </w:rPr>
        <w:t>。将模型的所有底边和底面全部约束，在上边框上施加</w:t>
      </w:r>
      <w:r w:rsidRPr="00305FF0">
        <w:rPr>
          <w:rFonts w:hint="eastAsia"/>
          <w:sz w:val="18"/>
          <w:szCs w:val="18"/>
        </w:rPr>
        <w:t>10kN</w:t>
      </w:r>
      <w:r w:rsidRPr="00305FF0">
        <w:rPr>
          <w:rFonts w:hint="eastAsia"/>
          <w:sz w:val="18"/>
          <w:szCs w:val="18"/>
        </w:rPr>
        <w:t>的力，计算从而获得静力解变形见图</w:t>
      </w:r>
      <w:r w:rsidRPr="00305FF0">
        <w:rPr>
          <w:rFonts w:hint="eastAsia"/>
          <w:sz w:val="18"/>
          <w:szCs w:val="18"/>
        </w:rPr>
        <w:t>6</w:t>
      </w:r>
      <w:r w:rsidRPr="00305FF0">
        <w:rPr>
          <w:rFonts w:hint="eastAsia"/>
          <w:sz w:val="18"/>
          <w:szCs w:val="18"/>
        </w:rPr>
        <w:t>。</w:t>
      </w:r>
    </w:p>
    <w:p w:rsidR="001A37E6" w:rsidRPr="00305FF0" w:rsidRDefault="001A37E6" w:rsidP="001A37E6">
      <w:pPr>
        <w:rPr>
          <w:sz w:val="18"/>
          <w:szCs w:val="18"/>
        </w:rPr>
      </w:pPr>
      <w:r w:rsidRPr="00305FF0">
        <w:rPr>
          <w:noProof/>
          <w:sz w:val="18"/>
          <w:szCs w:val="18"/>
        </w:rPr>
        <w:drawing>
          <wp:inline distT="0" distB="0" distL="0" distR="0">
            <wp:extent cx="3857625" cy="2400300"/>
            <wp:effectExtent l="19050" t="0" r="952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srcRect/>
                    <a:stretch>
                      <a:fillRect/>
                    </a:stretch>
                  </pic:blipFill>
                  <pic:spPr bwMode="auto">
                    <a:xfrm>
                      <a:off x="0" y="0"/>
                      <a:ext cx="3857625" cy="2400300"/>
                    </a:xfrm>
                    <a:prstGeom prst="rect">
                      <a:avLst/>
                    </a:prstGeom>
                    <a:noFill/>
                    <a:ln w="9525">
                      <a:noFill/>
                      <a:miter lim="800000"/>
                      <a:headEnd/>
                      <a:tailEnd/>
                    </a:ln>
                  </pic:spPr>
                </pic:pic>
              </a:graphicData>
            </a:graphic>
          </wp:inline>
        </w:drawing>
      </w:r>
    </w:p>
    <w:p w:rsidR="001A37E6" w:rsidRPr="00305FF0" w:rsidRDefault="001A37E6" w:rsidP="001A37E6">
      <w:pPr>
        <w:rPr>
          <w:sz w:val="18"/>
          <w:szCs w:val="18"/>
        </w:rPr>
      </w:pPr>
    </w:p>
    <w:p w:rsidR="001A37E6" w:rsidRPr="00305FF0" w:rsidRDefault="001A37E6" w:rsidP="001A37E6">
      <w:pPr>
        <w:rPr>
          <w:sz w:val="18"/>
          <w:szCs w:val="18"/>
        </w:rPr>
      </w:pPr>
      <w:r w:rsidRPr="00305FF0">
        <w:rPr>
          <w:rFonts w:hint="eastAsia"/>
          <w:sz w:val="18"/>
          <w:szCs w:val="18"/>
        </w:rPr>
        <w:lastRenderedPageBreak/>
        <w:t>3</w:t>
      </w:r>
      <w:r w:rsidRPr="00305FF0">
        <w:rPr>
          <w:rFonts w:hint="eastAsia"/>
          <w:sz w:val="18"/>
          <w:szCs w:val="18"/>
        </w:rPr>
        <w:t>、结果分析</w:t>
      </w:r>
    </w:p>
    <w:p w:rsidR="001A37E6" w:rsidRPr="00305FF0" w:rsidRDefault="001A37E6" w:rsidP="001A37E6">
      <w:pPr>
        <w:rPr>
          <w:sz w:val="18"/>
          <w:szCs w:val="18"/>
        </w:rPr>
      </w:pPr>
      <w:r w:rsidRPr="00305FF0">
        <w:rPr>
          <w:rFonts w:hint="eastAsia"/>
          <w:sz w:val="18"/>
          <w:szCs w:val="18"/>
        </w:rPr>
        <w:t>由图</w:t>
      </w:r>
      <w:r w:rsidRPr="00305FF0">
        <w:rPr>
          <w:rFonts w:hint="eastAsia"/>
          <w:sz w:val="18"/>
          <w:szCs w:val="18"/>
        </w:rPr>
        <w:t>5</w:t>
      </w:r>
      <w:r w:rsidRPr="00305FF0">
        <w:rPr>
          <w:rFonts w:hint="eastAsia"/>
          <w:sz w:val="18"/>
          <w:szCs w:val="18"/>
        </w:rPr>
        <w:t>可知，内框架在承受</w:t>
      </w:r>
      <w:r w:rsidRPr="00305FF0">
        <w:rPr>
          <w:rFonts w:hint="eastAsia"/>
          <w:sz w:val="18"/>
          <w:szCs w:val="18"/>
        </w:rPr>
        <w:t>10kN</w:t>
      </w:r>
      <w:r w:rsidRPr="00305FF0">
        <w:rPr>
          <w:rFonts w:hint="eastAsia"/>
          <w:sz w:val="18"/>
          <w:szCs w:val="18"/>
        </w:rPr>
        <w:t>的力时会发生形变，但最大形变为</w:t>
      </w:r>
      <w:r w:rsidRPr="00305FF0">
        <w:rPr>
          <w:rFonts w:hint="eastAsia"/>
          <w:sz w:val="18"/>
          <w:szCs w:val="18"/>
        </w:rPr>
        <w:t>0.0139mm</w:t>
      </w:r>
      <w:r w:rsidRPr="00305FF0">
        <w:rPr>
          <w:rFonts w:hint="eastAsia"/>
          <w:sz w:val="18"/>
          <w:szCs w:val="18"/>
        </w:rPr>
        <w:t>，且在上边框四边内立柱形变量仅为</w:t>
      </w:r>
      <w:r w:rsidRPr="00305FF0">
        <w:rPr>
          <w:rFonts w:hint="eastAsia"/>
          <w:sz w:val="18"/>
          <w:szCs w:val="18"/>
        </w:rPr>
        <w:t>0.00155mm</w:t>
      </w:r>
      <w:r w:rsidRPr="00305FF0">
        <w:rPr>
          <w:rFonts w:hint="eastAsia"/>
          <w:sz w:val="18"/>
          <w:szCs w:val="18"/>
        </w:rPr>
        <w:t>，周转箱完整的设计中还有塑料</w:t>
      </w:r>
      <w:r w:rsidRPr="00305FF0">
        <w:rPr>
          <w:rFonts w:hint="eastAsia"/>
          <w:b/>
          <w:sz w:val="18"/>
          <w:szCs w:val="18"/>
        </w:rPr>
        <w:t>中空板</w:t>
      </w:r>
      <w:r w:rsidRPr="00305FF0">
        <w:rPr>
          <w:rFonts w:hint="eastAsia"/>
          <w:sz w:val="18"/>
          <w:szCs w:val="18"/>
        </w:rPr>
        <w:t>以及最外层的铝合金外包边，因此整体在受到</w:t>
      </w:r>
      <w:r w:rsidRPr="00305FF0">
        <w:rPr>
          <w:rFonts w:hint="eastAsia"/>
          <w:sz w:val="18"/>
          <w:szCs w:val="18"/>
        </w:rPr>
        <w:t>10kN</w:t>
      </w:r>
      <w:r w:rsidRPr="00305FF0">
        <w:rPr>
          <w:rFonts w:hint="eastAsia"/>
          <w:sz w:val="18"/>
          <w:szCs w:val="18"/>
        </w:rPr>
        <w:t>力时的形变量应该会更小。传统的</w:t>
      </w:r>
      <w:r w:rsidRPr="00305FF0">
        <w:rPr>
          <w:rFonts w:hint="eastAsia"/>
          <w:sz w:val="18"/>
          <w:szCs w:val="18"/>
        </w:rPr>
        <w:t>0201</w:t>
      </w:r>
      <w:r w:rsidRPr="00305FF0">
        <w:rPr>
          <w:rFonts w:hint="eastAsia"/>
          <w:sz w:val="18"/>
          <w:szCs w:val="18"/>
        </w:rPr>
        <w:t>型</w:t>
      </w:r>
      <w:r w:rsidRPr="00305FF0">
        <w:rPr>
          <w:rFonts w:hint="eastAsia"/>
          <w:sz w:val="18"/>
          <w:szCs w:val="18"/>
        </w:rPr>
        <w:t>AB</w:t>
      </w:r>
      <w:r w:rsidRPr="00305FF0">
        <w:rPr>
          <w:rFonts w:hint="eastAsia"/>
          <w:sz w:val="18"/>
          <w:szCs w:val="18"/>
        </w:rPr>
        <w:t>楞五层瓦楞箱在受到</w:t>
      </w:r>
      <w:r w:rsidRPr="00305FF0">
        <w:rPr>
          <w:rFonts w:hint="eastAsia"/>
          <w:sz w:val="18"/>
          <w:szCs w:val="18"/>
        </w:rPr>
        <w:t>5900N</w:t>
      </w:r>
      <w:r w:rsidRPr="00305FF0">
        <w:rPr>
          <w:rFonts w:hint="eastAsia"/>
          <w:sz w:val="18"/>
          <w:szCs w:val="18"/>
        </w:rPr>
        <w:t>左右的力时将会彻底被压溃，可见所设计周转箱的抗压强度远远优与目前的</w:t>
      </w:r>
      <w:r w:rsidR="007F473A" w:rsidRPr="00305FF0">
        <w:rPr>
          <w:rFonts w:hint="eastAsia"/>
          <w:sz w:val="18"/>
          <w:szCs w:val="18"/>
        </w:rPr>
        <w:t>周转箱</w:t>
      </w:r>
      <w:r w:rsidRPr="00305FF0">
        <w:rPr>
          <w:rFonts w:hint="eastAsia"/>
          <w:sz w:val="18"/>
          <w:szCs w:val="18"/>
        </w:rPr>
        <w:t>。在堆码时，该周转箱能堆叠更高层数，大大提高了空间的利用率和运输效率。</w:t>
      </w:r>
    </w:p>
    <w:p w:rsidR="001A37E6" w:rsidRPr="00305FF0" w:rsidRDefault="001A37E6" w:rsidP="001A37E6">
      <w:pPr>
        <w:rPr>
          <w:sz w:val="18"/>
          <w:szCs w:val="18"/>
        </w:rPr>
      </w:pPr>
    </w:p>
    <w:p w:rsidR="001A37E6" w:rsidRPr="00305FF0" w:rsidRDefault="001A37E6" w:rsidP="001A37E6">
      <w:pPr>
        <w:rPr>
          <w:sz w:val="18"/>
          <w:szCs w:val="18"/>
        </w:rPr>
      </w:pPr>
    </w:p>
    <w:p w:rsidR="001A37E6" w:rsidRPr="00305FF0" w:rsidRDefault="001A37E6" w:rsidP="001A37E6">
      <w:pPr>
        <w:rPr>
          <w:sz w:val="18"/>
          <w:szCs w:val="18"/>
        </w:rPr>
      </w:pPr>
      <w:r w:rsidRPr="00305FF0">
        <w:rPr>
          <w:rFonts w:hint="eastAsia"/>
          <w:sz w:val="18"/>
          <w:szCs w:val="18"/>
        </w:rPr>
        <w:t>该</w:t>
      </w:r>
      <w:r w:rsidRPr="00305FF0">
        <w:rPr>
          <w:rFonts w:hint="eastAsia"/>
          <w:b/>
          <w:sz w:val="18"/>
          <w:szCs w:val="18"/>
        </w:rPr>
        <w:t>中空板周转箱</w:t>
      </w:r>
      <w:r w:rsidRPr="00305FF0">
        <w:rPr>
          <w:rFonts w:hint="eastAsia"/>
          <w:sz w:val="18"/>
          <w:szCs w:val="18"/>
        </w:rPr>
        <w:t>以轻量化、小型化的集装箱为设计理念，结合</w:t>
      </w:r>
      <w:r w:rsidR="007F473A" w:rsidRPr="00305FF0">
        <w:rPr>
          <w:rFonts w:hint="eastAsia"/>
          <w:sz w:val="18"/>
          <w:szCs w:val="18"/>
        </w:rPr>
        <w:t>周转箱</w:t>
      </w:r>
      <w:r w:rsidRPr="00305FF0">
        <w:rPr>
          <w:rFonts w:hint="eastAsia"/>
          <w:sz w:val="18"/>
          <w:szCs w:val="18"/>
        </w:rPr>
        <w:t>的运输包装特性，实现其标准化、模块化，减少二次运输包装带来的环保问题。标准化、模块化周转箱的优点如下所述。</w:t>
      </w:r>
    </w:p>
    <w:p w:rsidR="001A37E6" w:rsidRPr="00305FF0" w:rsidRDefault="001A37E6" w:rsidP="001A37E6">
      <w:pPr>
        <w:rPr>
          <w:sz w:val="18"/>
          <w:szCs w:val="18"/>
        </w:rPr>
      </w:pPr>
      <w:r w:rsidRPr="00305FF0">
        <w:rPr>
          <w:rFonts w:hint="eastAsia"/>
          <w:sz w:val="18"/>
          <w:szCs w:val="18"/>
        </w:rPr>
        <w:t>1</w:t>
      </w:r>
      <w:r w:rsidRPr="00305FF0">
        <w:rPr>
          <w:rFonts w:hint="eastAsia"/>
          <w:sz w:val="18"/>
          <w:szCs w:val="18"/>
        </w:rPr>
        <w:t>）货品安全性。从可靠性、仓储物流机械操作性等角度设计，异形瓦楞，变厚度瓦楞的易加工性</w:t>
      </w:r>
      <w:r w:rsidRPr="00305FF0">
        <w:rPr>
          <w:rFonts w:hint="eastAsia"/>
          <w:sz w:val="18"/>
          <w:szCs w:val="18"/>
        </w:rPr>
        <w:t>(</w:t>
      </w:r>
      <w:r w:rsidRPr="00305FF0">
        <w:rPr>
          <w:rFonts w:hint="eastAsia"/>
          <w:sz w:val="18"/>
          <w:szCs w:val="18"/>
        </w:rPr>
        <w:t>挤出或注塑及粘接</w:t>
      </w:r>
      <w:r w:rsidRPr="00305FF0">
        <w:rPr>
          <w:rFonts w:hint="eastAsia"/>
          <w:sz w:val="18"/>
          <w:szCs w:val="18"/>
        </w:rPr>
        <w:t>)</w:t>
      </w:r>
      <w:r w:rsidRPr="00305FF0">
        <w:rPr>
          <w:rFonts w:hint="eastAsia"/>
          <w:sz w:val="18"/>
          <w:szCs w:val="18"/>
        </w:rPr>
        <w:t>，多种类材料的使用以及周转箱的金属内框架加强，缓冲密封橡胶的使用使其运输包装特性优于等厚度波纹形的纸质</w:t>
      </w:r>
      <w:r w:rsidR="007F473A" w:rsidRPr="00305FF0">
        <w:rPr>
          <w:rFonts w:hint="eastAsia"/>
          <w:sz w:val="18"/>
          <w:szCs w:val="18"/>
        </w:rPr>
        <w:t>周转箱</w:t>
      </w:r>
      <w:r w:rsidRPr="00305FF0">
        <w:rPr>
          <w:rFonts w:hint="eastAsia"/>
          <w:sz w:val="18"/>
          <w:szCs w:val="18"/>
        </w:rPr>
        <w:t>。标准化的周转箱在运输车辆中叠放，受力由周转箱整体</w:t>
      </w:r>
      <w:r w:rsidRPr="00305FF0">
        <w:rPr>
          <w:rFonts w:hint="eastAsia"/>
          <w:sz w:val="18"/>
          <w:szCs w:val="18"/>
        </w:rPr>
        <w:t>(</w:t>
      </w:r>
      <w:r w:rsidRPr="00305FF0">
        <w:rPr>
          <w:rFonts w:hint="eastAsia"/>
          <w:sz w:val="18"/>
          <w:szCs w:val="18"/>
        </w:rPr>
        <w:t>箱面及边框</w:t>
      </w:r>
      <w:r w:rsidRPr="00305FF0">
        <w:rPr>
          <w:rFonts w:hint="eastAsia"/>
          <w:sz w:val="18"/>
          <w:szCs w:val="18"/>
        </w:rPr>
        <w:t>)</w:t>
      </w:r>
      <w:r w:rsidRPr="00305FF0">
        <w:rPr>
          <w:rFonts w:hint="eastAsia"/>
          <w:sz w:val="18"/>
          <w:szCs w:val="18"/>
        </w:rPr>
        <w:t>承受，同时在中空板分层、分隔格挡的缓冲保护下，内包装货品在周转箱内运输，相互挤力小，破损率极小。</w:t>
      </w:r>
    </w:p>
    <w:p w:rsidR="001A37E6" w:rsidRPr="00305FF0" w:rsidRDefault="001A37E6" w:rsidP="001A37E6">
      <w:pPr>
        <w:rPr>
          <w:sz w:val="18"/>
          <w:szCs w:val="18"/>
        </w:rPr>
      </w:pPr>
      <w:r w:rsidRPr="00305FF0">
        <w:rPr>
          <w:rFonts w:hint="eastAsia"/>
          <w:sz w:val="18"/>
          <w:szCs w:val="18"/>
        </w:rPr>
        <w:t>2</w:t>
      </w:r>
      <w:r w:rsidRPr="00305FF0">
        <w:rPr>
          <w:rFonts w:hint="eastAsia"/>
          <w:sz w:val="18"/>
          <w:szCs w:val="18"/>
        </w:rPr>
        <w:t>）组合塑料</w:t>
      </w:r>
      <w:r w:rsidRPr="00305FF0">
        <w:rPr>
          <w:rFonts w:hint="eastAsia"/>
          <w:b/>
          <w:sz w:val="18"/>
          <w:szCs w:val="18"/>
        </w:rPr>
        <w:t>中空板</w:t>
      </w:r>
      <w:r w:rsidRPr="00305FF0">
        <w:rPr>
          <w:rFonts w:hint="eastAsia"/>
          <w:sz w:val="18"/>
          <w:szCs w:val="18"/>
        </w:rPr>
        <w:t>多样性与互换性。组合塑料中空板是可以互换的。装配箱体时根据箱内负载大小、缓冲要求和箱体码垛高度等需求确定所需组合塑料中空板的种类及瓦楞形状与尺寸。</w:t>
      </w:r>
    </w:p>
    <w:p w:rsidR="001A37E6" w:rsidRPr="00305FF0" w:rsidRDefault="001A37E6" w:rsidP="001A37E6">
      <w:pPr>
        <w:rPr>
          <w:sz w:val="18"/>
          <w:szCs w:val="18"/>
        </w:rPr>
      </w:pPr>
      <w:r w:rsidRPr="00305FF0">
        <w:rPr>
          <w:rFonts w:hint="eastAsia"/>
          <w:sz w:val="18"/>
          <w:szCs w:val="18"/>
        </w:rPr>
        <w:t>3</w:t>
      </w:r>
      <w:r w:rsidRPr="00305FF0">
        <w:rPr>
          <w:rFonts w:hint="eastAsia"/>
          <w:sz w:val="18"/>
          <w:szCs w:val="18"/>
        </w:rPr>
        <w:t>）循环使用环保性。循环使用的塑料中空板组合式周转箱，在降低成本的同时可以减少对环境的破坏。内部使用的损坏塑料件，便于回收，在已知成分配方前提下，添加新料和改性，再生产过程无污染，再生塑料件、缓冲件使用性能不变，是有效的绿色体系。</w:t>
      </w:r>
    </w:p>
    <w:p w:rsidR="001A37E6" w:rsidRPr="00305FF0" w:rsidRDefault="001A37E6" w:rsidP="001A37E6">
      <w:pPr>
        <w:rPr>
          <w:sz w:val="18"/>
          <w:szCs w:val="18"/>
        </w:rPr>
      </w:pPr>
      <w:r w:rsidRPr="00305FF0">
        <w:rPr>
          <w:rFonts w:hint="eastAsia"/>
          <w:sz w:val="18"/>
          <w:szCs w:val="18"/>
        </w:rPr>
        <w:t>4</w:t>
      </w:r>
      <w:r w:rsidRPr="00305FF0">
        <w:rPr>
          <w:rFonts w:hint="eastAsia"/>
          <w:sz w:val="18"/>
          <w:szCs w:val="18"/>
        </w:rPr>
        <w:t>）作业高效性。优化后的标准化周转箱在运输车辆中叠放，占用运输车辆的空间小，内包装货品在周转箱内充填率高，因此货运数量加大。作为临时性仓储单元方便储存，自动化装卸、运输，信息化配送等物流作业效率高。</w:t>
      </w:r>
    </w:p>
    <w:p w:rsidR="001A37E6" w:rsidRPr="00305FF0" w:rsidRDefault="001A37E6" w:rsidP="001A37E6">
      <w:pPr>
        <w:rPr>
          <w:sz w:val="18"/>
          <w:szCs w:val="18"/>
        </w:rPr>
      </w:pPr>
      <w:r w:rsidRPr="00305FF0">
        <w:rPr>
          <w:rFonts w:hint="eastAsia"/>
          <w:sz w:val="18"/>
          <w:szCs w:val="18"/>
        </w:rPr>
        <w:t>5</w:t>
      </w:r>
      <w:r w:rsidRPr="00305FF0">
        <w:rPr>
          <w:rFonts w:hint="eastAsia"/>
          <w:sz w:val="18"/>
          <w:szCs w:val="18"/>
        </w:rPr>
        <w:t>）结构可变适应性。标准化的塑料中空板组合式周转箱，能够根据商品形状尺寸拼装周转箱和内部的缓冲垫、格挡。</w:t>
      </w:r>
    </w:p>
    <w:p w:rsidR="001A37E6" w:rsidRPr="00305FF0" w:rsidRDefault="001A37E6" w:rsidP="001A37E6">
      <w:pPr>
        <w:rPr>
          <w:sz w:val="18"/>
          <w:szCs w:val="18"/>
        </w:rPr>
      </w:pPr>
      <w:r w:rsidRPr="00305FF0">
        <w:rPr>
          <w:rFonts w:hint="eastAsia"/>
          <w:sz w:val="18"/>
          <w:szCs w:val="18"/>
        </w:rPr>
        <w:t>6</w:t>
      </w:r>
      <w:r w:rsidRPr="00305FF0">
        <w:rPr>
          <w:rFonts w:hint="eastAsia"/>
          <w:sz w:val="18"/>
          <w:szCs w:val="18"/>
        </w:rPr>
        <w:t>）结构可变低廉性。中空板组合式周转箱结构局部损坏，可以更换零件而不用整体报废，使用、维护的成本低。</w:t>
      </w:r>
    </w:p>
    <w:p w:rsidR="001A37E6" w:rsidRPr="00305FF0" w:rsidRDefault="001A37E6" w:rsidP="001A37E6">
      <w:pPr>
        <w:rPr>
          <w:sz w:val="18"/>
          <w:szCs w:val="18"/>
        </w:rPr>
      </w:pPr>
      <w:r w:rsidRPr="00305FF0">
        <w:rPr>
          <w:rFonts w:hint="eastAsia"/>
          <w:sz w:val="18"/>
          <w:szCs w:val="18"/>
        </w:rPr>
        <w:t>7</w:t>
      </w:r>
      <w:r w:rsidRPr="00305FF0">
        <w:rPr>
          <w:rFonts w:hint="eastAsia"/>
          <w:sz w:val="18"/>
          <w:szCs w:val="18"/>
        </w:rPr>
        <w:t>）物联网使用性。循环使用的周转箱可以安装</w:t>
      </w:r>
      <w:r w:rsidRPr="00305FF0">
        <w:rPr>
          <w:rFonts w:hint="eastAsia"/>
          <w:sz w:val="18"/>
          <w:szCs w:val="18"/>
        </w:rPr>
        <w:t>RFID</w:t>
      </w:r>
      <w:r w:rsidRPr="00305FF0">
        <w:rPr>
          <w:rFonts w:hint="eastAsia"/>
          <w:sz w:val="18"/>
          <w:szCs w:val="18"/>
        </w:rPr>
        <w:t>电子锁及</w:t>
      </w:r>
      <w:r w:rsidRPr="00305FF0">
        <w:rPr>
          <w:rFonts w:hint="eastAsia"/>
          <w:sz w:val="18"/>
          <w:szCs w:val="18"/>
        </w:rPr>
        <w:t>NB-IoT</w:t>
      </w:r>
      <w:r w:rsidRPr="00305FF0">
        <w:rPr>
          <w:rFonts w:hint="eastAsia"/>
          <w:sz w:val="18"/>
          <w:szCs w:val="18"/>
        </w:rPr>
        <w:t>模块，实现运输、仓储的近程和远程通讯、定位等物联网功能，运输包装箱升级为新型物流装备周转箱，带来一套高效的物流体系。</w:t>
      </w:r>
    </w:p>
    <w:p w:rsidR="001A37E6" w:rsidRPr="00305FF0" w:rsidRDefault="001A37E6" w:rsidP="001A37E6">
      <w:pPr>
        <w:rPr>
          <w:sz w:val="18"/>
          <w:szCs w:val="18"/>
        </w:rPr>
      </w:pPr>
    </w:p>
    <w:p w:rsidR="00BD1BE5" w:rsidRPr="00305FF0" w:rsidRDefault="001A37E6" w:rsidP="001A37E6">
      <w:pPr>
        <w:rPr>
          <w:sz w:val="18"/>
          <w:szCs w:val="18"/>
        </w:rPr>
      </w:pPr>
      <w:r w:rsidRPr="00305FF0">
        <w:rPr>
          <w:rFonts w:hint="eastAsia"/>
          <w:sz w:val="18"/>
          <w:szCs w:val="18"/>
        </w:rPr>
        <w:t>以</w:t>
      </w:r>
      <w:r w:rsidR="007F473A" w:rsidRPr="00305FF0">
        <w:rPr>
          <w:rFonts w:hint="eastAsia"/>
          <w:sz w:val="18"/>
          <w:szCs w:val="18"/>
        </w:rPr>
        <w:t>周转箱</w:t>
      </w:r>
      <w:r w:rsidRPr="00305FF0">
        <w:rPr>
          <w:rFonts w:hint="eastAsia"/>
          <w:sz w:val="18"/>
          <w:szCs w:val="18"/>
        </w:rPr>
        <w:t>的运输包装特性和集装箱的标准化、高可靠性为目标，以运输包装转化成物流装备为思路，所设计组合式中空板周转箱边压强度高，可大大提高堆码高度提高空间利用率和运输效率。并且能通过不同形状和材料的缓冲层定制设计以适应不同内装货物。内部循环使用、回收和再生产能减少和消除电商模式下运输包装材料的消耗及其产生污染。具有缓冲特性周转箱是一种新型物流装备，拟从企业内部物流切入，到电商同城物流，再到电商长途物流的推广使用途径。在设计、应用、管理等方面牵涉的问题是非常多，如：流通过程中各种载荷的确定，详细的结构设计、材料选择和工艺研究，周转箱的应用管理以及周转箱应用后的回流问题等。这一系列的问题都需要开展详尽的理论研究与实践改进。</w:t>
      </w:r>
    </w:p>
    <w:sectPr w:rsidR="00BD1BE5" w:rsidRPr="00305FF0" w:rsidSect="00BD1BE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A37E6"/>
    <w:rsid w:val="001A37E6"/>
    <w:rsid w:val="00305FF0"/>
    <w:rsid w:val="007F473A"/>
    <w:rsid w:val="00881E1D"/>
    <w:rsid w:val="008B20EC"/>
    <w:rsid w:val="00BD1BE5"/>
    <w:rsid w:val="00E90C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BE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A37E6"/>
    <w:rPr>
      <w:sz w:val="18"/>
      <w:szCs w:val="18"/>
    </w:rPr>
  </w:style>
  <w:style w:type="character" w:customStyle="1" w:styleId="Char">
    <w:name w:val="批注框文本 Char"/>
    <w:basedOn w:val="a0"/>
    <w:link w:val="a3"/>
    <w:uiPriority w:val="99"/>
    <w:semiHidden/>
    <w:rsid w:val="001A37E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5</Pages>
  <Words>622</Words>
  <Characters>3550</Characters>
  <Application>Microsoft Office Word</Application>
  <DocSecurity>0</DocSecurity>
  <Lines>29</Lines>
  <Paragraphs>8</Paragraphs>
  <ScaleCrop>false</ScaleCrop>
  <Company/>
  <LinksUpToDate>false</LinksUpToDate>
  <CharactersWithSpaces>4164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2019-10-11T07:38:00Z</dcterms:created>
  <dcterms:modified xsi:type="dcterms:W3CDTF">2019-10-16T08:21:00Z</dcterms:modified>
</cp:coreProperties>
</file>